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7C" w:rsidRDefault="0057237C" w:rsidP="0057237C">
      <w:r>
        <w:t>Chemicals needed:</w:t>
      </w:r>
    </w:p>
    <w:p w:rsidR="0057237C" w:rsidRDefault="0057237C" w:rsidP="0057237C">
      <w:pPr>
        <w:pStyle w:val="ListParagraph"/>
        <w:numPr>
          <w:ilvl w:val="0"/>
          <w:numId w:val="8"/>
        </w:numPr>
      </w:pPr>
      <w:r>
        <w:t>Methanol, Fisher Optima Grade</w:t>
      </w:r>
    </w:p>
    <w:p w:rsidR="0057237C" w:rsidRDefault="0057237C" w:rsidP="0057237C">
      <w:pPr>
        <w:pStyle w:val="ListParagraph"/>
        <w:numPr>
          <w:ilvl w:val="0"/>
          <w:numId w:val="8"/>
        </w:numPr>
      </w:pPr>
      <w:r>
        <w:t xml:space="preserve">10 </w:t>
      </w:r>
      <w:proofErr w:type="spellStart"/>
      <w:r>
        <w:t>mM</w:t>
      </w:r>
      <w:proofErr w:type="spellEnd"/>
      <w:r>
        <w:t xml:space="preserve"> Ammonium Acetate (made fresh)</w:t>
      </w:r>
    </w:p>
    <w:p w:rsidR="0057237C" w:rsidRDefault="0057237C" w:rsidP="0057237C">
      <w:pPr>
        <w:pStyle w:val="ListParagraph"/>
        <w:numPr>
          <w:ilvl w:val="0"/>
          <w:numId w:val="8"/>
        </w:numPr>
      </w:pPr>
      <w:r>
        <w:t>Daily Internal Standard Mix</w:t>
      </w:r>
      <w:r w:rsidR="007F0189">
        <w:t>*</w:t>
      </w:r>
    </w:p>
    <w:p w:rsidR="007F0189" w:rsidRDefault="007F0189" w:rsidP="007F0189">
      <w:pPr>
        <w:pStyle w:val="ListParagraph"/>
        <w:ind w:left="1440"/>
      </w:pPr>
      <w:r>
        <w:t>*See Appendix A</w:t>
      </w:r>
    </w:p>
    <w:p w:rsidR="0057237C" w:rsidRDefault="0057237C" w:rsidP="0057237C">
      <w:r>
        <w:t>Materials needed:</w:t>
      </w:r>
    </w:p>
    <w:p w:rsidR="0057237C" w:rsidRDefault="0057237C" w:rsidP="0057237C">
      <w:pPr>
        <w:pStyle w:val="ListParagraph"/>
        <w:numPr>
          <w:ilvl w:val="0"/>
          <w:numId w:val="5"/>
        </w:numPr>
      </w:pPr>
      <w:r>
        <w:t>Labeled 1.5 mL or 2 mL Eppendorf tubes</w:t>
      </w:r>
    </w:p>
    <w:p w:rsidR="0057237C" w:rsidRDefault="0057237C" w:rsidP="0057237C">
      <w:pPr>
        <w:pStyle w:val="ListParagraph"/>
        <w:numPr>
          <w:ilvl w:val="0"/>
          <w:numId w:val="5"/>
        </w:numPr>
      </w:pPr>
      <w:r>
        <w:t>Repeater Pipette</w:t>
      </w:r>
    </w:p>
    <w:p w:rsidR="0057237C" w:rsidRDefault="0057237C" w:rsidP="0057237C">
      <w:pPr>
        <w:pStyle w:val="ListParagraph"/>
        <w:numPr>
          <w:ilvl w:val="0"/>
          <w:numId w:val="5"/>
        </w:numPr>
      </w:pPr>
      <w:r>
        <w:t>Calibrated Micropipettes in various volumes* (see table below)</w:t>
      </w:r>
    </w:p>
    <w:p w:rsidR="0057237C" w:rsidRDefault="0057237C" w:rsidP="0057237C">
      <w:pPr>
        <w:pStyle w:val="ListParagraph"/>
        <w:numPr>
          <w:ilvl w:val="0"/>
          <w:numId w:val="5"/>
        </w:numPr>
      </w:pPr>
      <w:r>
        <w:t>Appropriate Micropipette tips* (see table below)</w:t>
      </w:r>
    </w:p>
    <w:p w:rsidR="0057237C" w:rsidRDefault="0057237C" w:rsidP="0057237C">
      <w:pPr>
        <w:pStyle w:val="ListParagraph"/>
        <w:numPr>
          <w:ilvl w:val="0"/>
          <w:numId w:val="5"/>
        </w:numPr>
      </w:pPr>
      <w:r>
        <w:t>Vortex</w:t>
      </w:r>
    </w:p>
    <w:p w:rsidR="0057237C" w:rsidRDefault="0057237C" w:rsidP="0057237C">
      <w:pPr>
        <w:pStyle w:val="ListParagraph"/>
        <w:numPr>
          <w:ilvl w:val="0"/>
          <w:numId w:val="5"/>
        </w:numPr>
      </w:pPr>
      <w:proofErr w:type="spellStart"/>
      <w:r>
        <w:t>Sonicator</w:t>
      </w:r>
      <w:proofErr w:type="spellEnd"/>
    </w:p>
    <w:p w:rsidR="0057237C" w:rsidRDefault="0057237C" w:rsidP="0057237C">
      <w:pPr>
        <w:pStyle w:val="ListParagraph"/>
        <w:numPr>
          <w:ilvl w:val="0"/>
          <w:numId w:val="5"/>
        </w:numPr>
      </w:pPr>
      <w:r>
        <w:t>Centrifuge</w:t>
      </w:r>
    </w:p>
    <w:p w:rsidR="0057237C" w:rsidRDefault="0057237C" w:rsidP="0057237C">
      <w:pPr>
        <w:pStyle w:val="ListParagraph"/>
        <w:numPr>
          <w:ilvl w:val="0"/>
          <w:numId w:val="5"/>
        </w:numPr>
      </w:pPr>
      <w:r>
        <w:t>Labeled LC vials with appropriate caps or 96-well tray</w:t>
      </w:r>
    </w:p>
    <w:p w:rsidR="0057237C" w:rsidRDefault="0057237C" w:rsidP="0057237C">
      <w:pPr>
        <w:pStyle w:val="ListParagraph"/>
        <w:numPr>
          <w:ilvl w:val="0"/>
          <w:numId w:val="5"/>
        </w:numPr>
      </w:pPr>
      <w:r>
        <w:t>Personal Protective Equipment</w:t>
      </w:r>
    </w:p>
    <w:tbl>
      <w:tblPr>
        <w:tblStyle w:val="TableGrid"/>
        <w:tblW w:w="3841" w:type="dxa"/>
        <w:tblInd w:w="2767" w:type="dxa"/>
        <w:tblLook w:val="04A0" w:firstRow="1" w:lastRow="0" w:firstColumn="1" w:lastColumn="0" w:noHBand="0" w:noVBand="1"/>
      </w:tblPr>
      <w:tblGrid>
        <w:gridCol w:w="1135"/>
        <w:gridCol w:w="1517"/>
        <w:gridCol w:w="1189"/>
      </w:tblGrid>
      <w:tr w:rsidR="0057237C" w:rsidTr="00F2061A">
        <w:trPr>
          <w:trHeight w:val="619"/>
        </w:trPr>
        <w:tc>
          <w:tcPr>
            <w:tcW w:w="1135" w:type="dxa"/>
            <w:vAlign w:val="center"/>
          </w:tcPr>
          <w:p w:rsidR="0057237C" w:rsidRDefault="0057237C" w:rsidP="00F2061A">
            <w:pPr>
              <w:ind w:left="90" w:hanging="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1B44AF">
              <w:rPr>
                <w:rFonts w:ascii="Times New Roman" w:eastAsia="Times New Roman" w:hAnsi="Times New Roman" w:cs="Times New Roman"/>
                <w:b/>
                <w:bCs/>
                <w:sz w:val="24"/>
                <w:szCs w:val="24"/>
              </w:rPr>
              <w:t>ype</w:t>
            </w:r>
          </w:p>
        </w:tc>
        <w:tc>
          <w:tcPr>
            <w:tcW w:w="1517"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b/>
                <w:bCs/>
                <w:sz w:val="24"/>
                <w:szCs w:val="24"/>
              </w:rPr>
              <w:t>Volumes (</w:t>
            </w:r>
            <w:proofErr w:type="spellStart"/>
            <w:r w:rsidRPr="001B44AF">
              <w:rPr>
                <w:rFonts w:ascii="Times New Roman" w:eastAsia="Times New Roman" w:hAnsi="Times New Roman" w:cs="Times New Roman"/>
                <w:b/>
                <w:bCs/>
                <w:sz w:val="24"/>
                <w:szCs w:val="24"/>
              </w:rPr>
              <w:t>μL</w:t>
            </w:r>
            <w:proofErr w:type="spellEnd"/>
            <w:r w:rsidRPr="001B44AF">
              <w:rPr>
                <w:rFonts w:ascii="Times New Roman" w:eastAsia="Times New Roman" w:hAnsi="Times New Roman" w:cs="Times New Roman"/>
                <w:b/>
                <w:bCs/>
                <w:sz w:val="24"/>
                <w:szCs w:val="24"/>
              </w:rPr>
              <w:t>)</w:t>
            </w:r>
          </w:p>
        </w:tc>
        <w:tc>
          <w:tcPr>
            <w:tcW w:w="1189" w:type="dxa"/>
            <w:vAlign w:val="center"/>
          </w:tcPr>
          <w:p w:rsidR="0057237C" w:rsidRPr="001B44AF"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b/>
                <w:bCs/>
                <w:sz w:val="24"/>
                <w:szCs w:val="24"/>
              </w:rPr>
              <w:t>Tip color</w:t>
            </w:r>
          </w:p>
        </w:tc>
      </w:tr>
      <w:tr w:rsidR="0057237C" w:rsidTr="00F2061A">
        <w:trPr>
          <w:trHeight w:val="309"/>
        </w:trPr>
        <w:tc>
          <w:tcPr>
            <w:tcW w:w="1135"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P10</w:t>
            </w:r>
          </w:p>
        </w:tc>
        <w:tc>
          <w:tcPr>
            <w:tcW w:w="1517"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0.5 – 10</w:t>
            </w:r>
          </w:p>
        </w:tc>
        <w:tc>
          <w:tcPr>
            <w:tcW w:w="1189"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white</w:t>
            </w:r>
          </w:p>
        </w:tc>
      </w:tr>
      <w:tr w:rsidR="0057237C" w:rsidTr="00F2061A">
        <w:trPr>
          <w:trHeight w:val="309"/>
        </w:trPr>
        <w:tc>
          <w:tcPr>
            <w:tcW w:w="1135"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P20</w:t>
            </w:r>
          </w:p>
        </w:tc>
        <w:tc>
          <w:tcPr>
            <w:tcW w:w="1517"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2 – 20</w:t>
            </w:r>
          </w:p>
        </w:tc>
        <w:tc>
          <w:tcPr>
            <w:tcW w:w="1189"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yellow</w:t>
            </w:r>
          </w:p>
        </w:tc>
      </w:tr>
      <w:tr w:rsidR="0057237C" w:rsidTr="00F2061A">
        <w:trPr>
          <w:trHeight w:val="154"/>
        </w:trPr>
        <w:tc>
          <w:tcPr>
            <w:tcW w:w="1135"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P200</w:t>
            </w:r>
          </w:p>
        </w:tc>
        <w:tc>
          <w:tcPr>
            <w:tcW w:w="1517"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20 – 200</w:t>
            </w:r>
          </w:p>
        </w:tc>
        <w:tc>
          <w:tcPr>
            <w:tcW w:w="1189"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yellow</w:t>
            </w:r>
          </w:p>
        </w:tc>
      </w:tr>
      <w:tr w:rsidR="0057237C" w:rsidTr="00F2061A">
        <w:trPr>
          <w:trHeight w:val="154"/>
        </w:trPr>
        <w:tc>
          <w:tcPr>
            <w:tcW w:w="1135"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P1000</w:t>
            </w:r>
          </w:p>
        </w:tc>
        <w:tc>
          <w:tcPr>
            <w:tcW w:w="1517"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200 – 1000</w:t>
            </w:r>
          </w:p>
        </w:tc>
        <w:tc>
          <w:tcPr>
            <w:tcW w:w="1189" w:type="dxa"/>
          </w:tcPr>
          <w:p w:rsidR="0057237C" w:rsidRDefault="0057237C" w:rsidP="00F2061A">
            <w:pPr>
              <w:jc w:val="center"/>
              <w:rPr>
                <w:rFonts w:ascii="Times New Roman" w:eastAsia="Times New Roman" w:hAnsi="Times New Roman" w:cs="Times New Roman"/>
                <w:b/>
                <w:bCs/>
                <w:sz w:val="24"/>
                <w:szCs w:val="24"/>
              </w:rPr>
            </w:pPr>
            <w:r w:rsidRPr="001B44AF">
              <w:rPr>
                <w:rFonts w:ascii="Times New Roman" w:eastAsia="Times New Roman" w:hAnsi="Times New Roman" w:cs="Times New Roman"/>
                <w:sz w:val="24"/>
                <w:szCs w:val="24"/>
              </w:rPr>
              <w:t>blue</w:t>
            </w:r>
          </w:p>
        </w:tc>
      </w:tr>
    </w:tbl>
    <w:p w:rsidR="0057237C" w:rsidRDefault="0057237C" w:rsidP="0057237C">
      <w:pPr>
        <w:ind w:left="2520"/>
      </w:pPr>
      <w:r>
        <w:rPr>
          <w:sz w:val="18"/>
        </w:rPr>
        <w:t xml:space="preserve">  Precise</w:t>
      </w:r>
      <w:r w:rsidRPr="00DD1BA8">
        <w:rPr>
          <w:sz w:val="18"/>
        </w:rPr>
        <w:t xml:space="preserve"> Micropipette</w:t>
      </w:r>
      <w:r>
        <w:rPr>
          <w:sz w:val="18"/>
        </w:rPr>
        <w:t xml:space="preserve"> </w:t>
      </w:r>
      <w:r w:rsidRPr="00DD1BA8">
        <w:rPr>
          <w:sz w:val="18"/>
        </w:rPr>
        <w:t xml:space="preserve">Volume and Transfer </w:t>
      </w:r>
      <w:r>
        <w:rPr>
          <w:sz w:val="18"/>
        </w:rPr>
        <w:t>capabilities</w:t>
      </w:r>
    </w:p>
    <w:p w:rsidR="0057237C" w:rsidRDefault="0057237C" w:rsidP="0057237C">
      <w:r>
        <w:t>Instrumentation:</w:t>
      </w:r>
    </w:p>
    <w:p w:rsidR="0057237C" w:rsidRDefault="0057237C" w:rsidP="0057237C">
      <w:pPr>
        <w:pStyle w:val="ListParagraph"/>
        <w:numPr>
          <w:ilvl w:val="0"/>
          <w:numId w:val="11"/>
        </w:numPr>
      </w:pPr>
      <w:r>
        <w:t>Vortex, Fisher Brand- Vortex Genie 2:12-812: Ensure switch is set to touch mode and shake dial set to 8.</w:t>
      </w:r>
    </w:p>
    <w:p w:rsidR="0057237C" w:rsidRDefault="0057237C" w:rsidP="0057237C">
      <w:pPr>
        <w:pStyle w:val="ListParagraph"/>
        <w:numPr>
          <w:ilvl w:val="0"/>
          <w:numId w:val="11"/>
        </w:numPr>
      </w:pPr>
      <w:proofErr w:type="spellStart"/>
      <w:r>
        <w:t>Sonicator</w:t>
      </w:r>
      <w:proofErr w:type="spellEnd"/>
      <w:r>
        <w:t>, Fisher Scientific- FS30: Turn heat switch to off and turn dial to desired time.</w:t>
      </w:r>
    </w:p>
    <w:p w:rsidR="0057237C" w:rsidRDefault="0057237C" w:rsidP="0057237C">
      <w:pPr>
        <w:pStyle w:val="ListParagraph"/>
        <w:numPr>
          <w:ilvl w:val="0"/>
          <w:numId w:val="11"/>
        </w:numPr>
      </w:pPr>
      <w:r>
        <w:t>Centrifuge, Eppendorf- 5417R: Open by pressing blue “open” button on bottom left of display. Check to be sure loading dock is cool. If not cool, close, press fast cool and wait until temperature is &lt;10</w:t>
      </w:r>
      <w:r w:rsidRPr="005F27F0">
        <w:rPr>
          <w:rFonts w:cstheme="minorHAnsi"/>
        </w:rPr>
        <w:t>°</w:t>
      </w:r>
      <w:r>
        <w:t>C. When temperature is &lt;10</w:t>
      </w:r>
      <w:r w:rsidRPr="005F27F0">
        <w:rPr>
          <w:rFonts w:cstheme="minorHAnsi"/>
        </w:rPr>
        <w:t>°</w:t>
      </w:r>
      <w:r>
        <w:t>C, press stop, wait for centrifuge to stop spinning, and open. Load samples making sure samples and/or weights are evenly distributed among the wheel.</w:t>
      </w:r>
    </w:p>
    <w:p w:rsidR="0057237C" w:rsidRDefault="0057237C" w:rsidP="0057237C">
      <w:r>
        <w:t>Procedure:</w:t>
      </w:r>
    </w:p>
    <w:p w:rsidR="0057237C" w:rsidRDefault="0057237C" w:rsidP="0057237C">
      <w:pPr>
        <w:pStyle w:val="ListParagraph"/>
        <w:numPr>
          <w:ilvl w:val="0"/>
          <w:numId w:val="2"/>
        </w:numPr>
      </w:pPr>
      <w:r>
        <w:lastRenderedPageBreak/>
        <w:t>Weigh 30mg of the freeze dried sample into clean Eppendorf tube.</w:t>
      </w:r>
    </w:p>
    <w:p w:rsidR="0057237C" w:rsidRDefault="0057237C" w:rsidP="0057237C">
      <w:pPr>
        <w:pStyle w:val="ListParagraph"/>
        <w:numPr>
          <w:ilvl w:val="0"/>
          <w:numId w:val="2"/>
        </w:numPr>
      </w:pPr>
      <w:r>
        <w:t>Add 20µL Daily Internal Standard Mix to each sample</w:t>
      </w:r>
    </w:p>
    <w:p w:rsidR="0057237C" w:rsidRDefault="0057237C" w:rsidP="0057237C">
      <w:pPr>
        <w:pStyle w:val="ListParagraph"/>
        <w:numPr>
          <w:ilvl w:val="0"/>
          <w:numId w:val="2"/>
        </w:numPr>
      </w:pPr>
      <w:r>
        <w:t>Add 750 µL Methanol and 750 µL 10mM Ammonium Acetate to sample.</w:t>
      </w:r>
    </w:p>
    <w:p w:rsidR="0057237C" w:rsidRDefault="0057237C" w:rsidP="0057237C">
      <w:pPr>
        <w:pStyle w:val="ListParagraph"/>
        <w:numPr>
          <w:ilvl w:val="0"/>
          <w:numId w:val="2"/>
        </w:numPr>
      </w:pPr>
      <w:r>
        <w:t>Vortex each sample for 1 minute at room temperature (20-25 C).</w:t>
      </w:r>
    </w:p>
    <w:p w:rsidR="0057237C" w:rsidRDefault="0057237C" w:rsidP="0057237C">
      <w:pPr>
        <w:pStyle w:val="ListParagraph"/>
        <w:numPr>
          <w:ilvl w:val="0"/>
          <w:numId w:val="2"/>
        </w:numPr>
      </w:pPr>
      <w:proofErr w:type="spellStart"/>
      <w:r>
        <w:t>Ultrasonicate</w:t>
      </w:r>
      <w:proofErr w:type="spellEnd"/>
      <w:r>
        <w:t xml:space="preserve"> for 10-20 minutes at room temperature.</w:t>
      </w:r>
    </w:p>
    <w:p w:rsidR="0057237C" w:rsidRDefault="0057237C" w:rsidP="0057237C">
      <w:pPr>
        <w:pStyle w:val="ListParagraph"/>
        <w:numPr>
          <w:ilvl w:val="0"/>
          <w:numId w:val="2"/>
        </w:numPr>
      </w:pPr>
      <w:r>
        <w:t>Centrifuge at room temperature for 5-10 minutes at 17,000 G.</w:t>
      </w:r>
    </w:p>
    <w:p w:rsidR="0057237C" w:rsidRDefault="0057237C" w:rsidP="0057237C">
      <w:pPr>
        <w:pStyle w:val="ListParagraph"/>
        <w:numPr>
          <w:ilvl w:val="0"/>
          <w:numId w:val="2"/>
        </w:numPr>
      </w:pPr>
      <w:r>
        <w:t xml:space="preserve">Transfer more than 1 mL of supernatant to a 1.5 mL </w:t>
      </w:r>
      <w:proofErr w:type="spellStart"/>
      <w:r>
        <w:t>eppendorf</w:t>
      </w:r>
      <w:proofErr w:type="spellEnd"/>
      <w:r>
        <w:t>.</w:t>
      </w:r>
    </w:p>
    <w:p w:rsidR="0057237C" w:rsidRDefault="0057237C" w:rsidP="0057237C">
      <w:pPr>
        <w:pStyle w:val="ListParagraph"/>
        <w:numPr>
          <w:ilvl w:val="0"/>
          <w:numId w:val="2"/>
        </w:numPr>
      </w:pPr>
      <w:r>
        <w:t>Transfer 800 µL of supernatant to an LC vial.</w:t>
      </w:r>
    </w:p>
    <w:p w:rsidR="0057237C" w:rsidRDefault="0057237C" w:rsidP="0057237C"/>
    <w:p w:rsidR="0057237C" w:rsidRDefault="0057237C" w:rsidP="0057237C"/>
    <w:p w:rsidR="0057237C" w:rsidRDefault="0057237C" w:rsidP="0057237C"/>
    <w:tbl>
      <w:tblPr>
        <w:tblStyle w:val="TableGrid"/>
        <w:tblW w:w="0" w:type="auto"/>
        <w:tblLook w:val="04A0" w:firstRow="1" w:lastRow="0" w:firstColumn="1" w:lastColumn="0" w:noHBand="0" w:noVBand="1"/>
      </w:tblPr>
      <w:tblGrid>
        <w:gridCol w:w="3192"/>
        <w:gridCol w:w="3192"/>
        <w:gridCol w:w="3192"/>
      </w:tblGrid>
      <w:tr w:rsidR="0057237C" w:rsidTr="00F2061A">
        <w:trPr>
          <w:trHeight w:val="135"/>
        </w:trPr>
        <w:tc>
          <w:tcPr>
            <w:tcW w:w="3192" w:type="dxa"/>
          </w:tcPr>
          <w:p w:rsidR="0057237C" w:rsidRDefault="0057237C" w:rsidP="00F2061A">
            <w:r>
              <w:t>Created By:</w:t>
            </w:r>
          </w:p>
        </w:tc>
        <w:tc>
          <w:tcPr>
            <w:tcW w:w="3192" w:type="dxa"/>
          </w:tcPr>
          <w:p w:rsidR="0057237C" w:rsidRDefault="0057237C" w:rsidP="00F2061A">
            <w:r>
              <w:t>Sandi Batson</w:t>
            </w:r>
          </w:p>
        </w:tc>
        <w:tc>
          <w:tcPr>
            <w:tcW w:w="3192" w:type="dxa"/>
          </w:tcPr>
          <w:p w:rsidR="0057237C" w:rsidRDefault="0057237C" w:rsidP="00F2061A">
            <w:r>
              <w:t>Date: 10/04/14</w:t>
            </w:r>
          </w:p>
        </w:tc>
      </w:tr>
      <w:tr w:rsidR="0057237C" w:rsidTr="00F2061A">
        <w:tc>
          <w:tcPr>
            <w:tcW w:w="3192" w:type="dxa"/>
          </w:tcPr>
          <w:p w:rsidR="0057237C" w:rsidRDefault="0057237C" w:rsidP="00F2061A">
            <w:r>
              <w:t>Reviewed By:</w:t>
            </w:r>
          </w:p>
        </w:tc>
        <w:tc>
          <w:tcPr>
            <w:tcW w:w="3192" w:type="dxa"/>
          </w:tcPr>
          <w:p w:rsidR="0057237C" w:rsidRDefault="0057237C" w:rsidP="00F2061A">
            <w:r>
              <w:t>Tim Garrett</w:t>
            </w:r>
          </w:p>
        </w:tc>
        <w:tc>
          <w:tcPr>
            <w:tcW w:w="3192" w:type="dxa"/>
          </w:tcPr>
          <w:p w:rsidR="0057237C" w:rsidRDefault="0057237C" w:rsidP="00F2061A">
            <w:r>
              <w:t>Date: 10/04/14</w:t>
            </w:r>
          </w:p>
        </w:tc>
      </w:tr>
      <w:tr w:rsidR="0057237C" w:rsidTr="00F2061A">
        <w:tc>
          <w:tcPr>
            <w:tcW w:w="3192" w:type="dxa"/>
          </w:tcPr>
          <w:p w:rsidR="0057237C" w:rsidRDefault="0057237C" w:rsidP="00F2061A">
            <w:r>
              <w:t>Approved By:</w:t>
            </w:r>
          </w:p>
        </w:tc>
        <w:tc>
          <w:tcPr>
            <w:tcW w:w="3192" w:type="dxa"/>
          </w:tcPr>
          <w:p w:rsidR="0057237C" w:rsidRDefault="0057237C" w:rsidP="00F2061A">
            <w:r>
              <w:t>Art Edison</w:t>
            </w:r>
          </w:p>
        </w:tc>
        <w:tc>
          <w:tcPr>
            <w:tcW w:w="3192" w:type="dxa"/>
          </w:tcPr>
          <w:p w:rsidR="0057237C" w:rsidRDefault="0057237C" w:rsidP="00F2061A">
            <w:r>
              <w:t>Date: 11/12/14</w:t>
            </w:r>
          </w:p>
        </w:tc>
      </w:tr>
    </w:tbl>
    <w:p w:rsidR="0057237C" w:rsidRDefault="0057237C" w:rsidP="0057237C"/>
    <w:tbl>
      <w:tblPr>
        <w:tblStyle w:val="TableGrid"/>
        <w:tblW w:w="0" w:type="auto"/>
        <w:tblLayout w:type="fixed"/>
        <w:tblLook w:val="04A0" w:firstRow="1" w:lastRow="0" w:firstColumn="1" w:lastColumn="0" w:noHBand="0" w:noVBand="1"/>
      </w:tblPr>
      <w:tblGrid>
        <w:gridCol w:w="1872"/>
        <w:gridCol w:w="1872"/>
        <w:gridCol w:w="4032"/>
        <w:gridCol w:w="1728"/>
      </w:tblGrid>
      <w:tr w:rsidR="0057237C" w:rsidTr="00F2061A">
        <w:tc>
          <w:tcPr>
            <w:tcW w:w="1872" w:type="dxa"/>
          </w:tcPr>
          <w:p w:rsidR="0057237C" w:rsidRDefault="0057237C" w:rsidP="00F2061A">
            <w:pPr>
              <w:jc w:val="center"/>
            </w:pPr>
            <w:r>
              <w:t>Revision Number</w:t>
            </w:r>
          </w:p>
        </w:tc>
        <w:tc>
          <w:tcPr>
            <w:tcW w:w="1872" w:type="dxa"/>
          </w:tcPr>
          <w:p w:rsidR="0057237C" w:rsidRDefault="0057237C" w:rsidP="00F2061A">
            <w:pPr>
              <w:jc w:val="center"/>
            </w:pPr>
            <w:r>
              <w:t>Name</w:t>
            </w:r>
          </w:p>
        </w:tc>
        <w:tc>
          <w:tcPr>
            <w:tcW w:w="4032" w:type="dxa"/>
          </w:tcPr>
          <w:p w:rsidR="0057237C" w:rsidRDefault="0057237C" w:rsidP="00F2061A">
            <w:pPr>
              <w:jc w:val="center"/>
            </w:pPr>
            <w:r>
              <w:t>Reason for Revision</w:t>
            </w:r>
          </w:p>
        </w:tc>
        <w:tc>
          <w:tcPr>
            <w:tcW w:w="1728" w:type="dxa"/>
          </w:tcPr>
          <w:p w:rsidR="0057237C" w:rsidRDefault="0057237C" w:rsidP="00F2061A">
            <w:pPr>
              <w:jc w:val="center"/>
            </w:pPr>
            <w:r>
              <w:t>Effective Date</w:t>
            </w:r>
          </w:p>
        </w:tc>
      </w:tr>
      <w:tr w:rsidR="0057237C" w:rsidTr="00F2061A">
        <w:trPr>
          <w:trHeight w:val="135"/>
        </w:trPr>
        <w:tc>
          <w:tcPr>
            <w:tcW w:w="1872" w:type="dxa"/>
          </w:tcPr>
          <w:p w:rsidR="0057237C" w:rsidRDefault="0057237C" w:rsidP="00F2061A">
            <w:r>
              <w:t>01</w:t>
            </w:r>
          </w:p>
        </w:tc>
        <w:tc>
          <w:tcPr>
            <w:tcW w:w="1872" w:type="dxa"/>
          </w:tcPr>
          <w:p w:rsidR="0057237C" w:rsidRDefault="0057237C" w:rsidP="00F2061A">
            <w:r>
              <w:t>Sandi B. Sternberg</w:t>
            </w:r>
          </w:p>
        </w:tc>
        <w:tc>
          <w:tcPr>
            <w:tcW w:w="4032" w:type="dxa"/>
          </w:tcPr>
          <w:p w:rsidR="0057237C" w:rsidRDefault="0057237C" w:rsidP="00F2061A">
            <w:r>
              <w:t>Creation of SOP</w:t>
            </w:r>
          </w:p>
        </w:tc>
        <w:tc>
          <w:tcPr>
            <w:tcW w:w="1728" w:type="dxa"/>
          </w:tcPr>
          <w:p w:rsidR="0057237C" w:rsidRDefault="0057237C" w:rsidP="00F2061A">
            <w:r>
              <w:t>10/04/14</w:t>
            </w:r>
          </w:p>
        </w:tc>
      </w:tr>
      <w:tr w:rsidR="0057237C" w:rsidTr="00F2061A">
        <w:trPr>
          <w:trHeight w:val="540"/>
        </w:trPr>
        <w:tc>
          <w:tcPr>
            <w:tcW w:w="1872" w:type="dxa"/>
          </w:tcPr>
          <w:p w:rsidR="0057237C" w:rsidRDefault="0057237C" w:rsidP="00F2061A">
            <w:r>
              <w:t>02</w:t>
            </w:r>
          </w:p>
        </w:tc>
        <w:tc>
          <w:tcPr>
            <w:tcW w:w="1872" w:type="dxa"/>
          </w:tcPr>
          <w:p w:rsidR="0057237C" w:rsidRDefault="0057237C" w:rsidP="00F2061A">
            <w:r>
              <w:t>Sandi B. Sternberg</w:t>
            </w:r>
          </w:p>
        </w:tc>
        <w:tc>
          <w:tcPr>
            <w:tcW w:w="4032" w:type="dxa"/>
          </w:tcPr>
          <w:p w:rsidR="0057237C" w:rsidRDefault="0057237C" w:rsidP="00F2061A">
            <w:r>
              <w:t xml:space="preserve">Update Chemicals needed to reflect 10 </w:t>
            </w:r>
            <w:proofErr w:type="spellStart"/>
            <w:r>
              <w:t>mM</w:t>
            </w:r>
            <w:proofErr w:type="spellEnd"/>
            <w:r>
              <w:t xml:space="preserve"> Ammonium Acetate being replaced with water. Ammonium Acetate is not compatible with NMR.</w:t>
            </w:r>
          </w:p>
        </w:tc>
        <w:tc>
          <w:tcPr>
            <w:tcW w:w="1728" w:type="dxa"/>
          </w:tcPr>
          <w:p w:rsidR="0057237C" w:rsidRDefault="0057237C" w:rsidP="00F2061A">
            <w:r>
              <w:t>10/27/14</w:t>
            </w:r>
          </w:p>
          <w:p w:rsidR="0057237C" w:rsidRDefault="0057237C" w:rsidP="00F2061A"/>
        </w:tc>
      </w:tr>
      <w:tr w:rsidR="0057237C" w:rsidTr="00F2061A">
        <w:trPr>
          <w:trHeight w:val="540"/>
        </w:trPr>
        <w:tc>
          <w:tcPr>
            <w:tcW w:w="1872" w:type="dxa"/>
          </w:tcPr>
          <w:p w:rsidR="0057237C" w:rsidRDefault="0057237C" w:rsidP="00F2061A">
            <w:r>
              <w:t>03</w:t>
            </w:r>
          </w:p>
        </w:tc>
        <w:tc>
          <w:tcPr>
            <w:tcW w:w="1872" w:type="dxa"/>
          </w:tcPr>
          <w:p w:rsidR="0057237C" w:rsidRDefault="0057237C" w:rsidP="00F2061A">
            <w:r>
              <w:t>Sandi B. Sternberg</w:t>
            </w:r>
          </w:p>
        </w:tc>
        <w:tc>
          <w:tcPr>
            <w:tcW w:w="4032" w:type="dxa"/>
          </w:tcPr>
          <w:p w:rsidR="0057237C" w:rsidRDefault="0057237C" w:rsidP="00F2061A">
            <w:proofErr w:type="gramStart"/>
            <w:r>
              <w:t>Revert</w:t>
            </w:r>
            <w:proofErr w:type="gramEnd"/>
            <w:r>
              <w:t xml:space="preserve"> chemicals needed back to 10 </w:t>
            </w:r>
            <w:proofErr w:type="spellStart"/>
            <w:r>
              <w:t>mM</w:t>
            </w:r>
            <w:proofErr w:type="spellEnd"/>
            <w:r>
              <w:t xml:space="preserve"> Ammonium Acetate. Data analysis showed better features with Ammonium Acetate</w:t>
            </w:r>
          </w:p>
        </w:tc>
        <w:tc>
          <w:tcPr>
            <w:tcW w:w="1728" w:type="dxa"/>
          </w:tcPr>
          <w:p w:rsidR="0057237C" w:rsidRDefault="0057237C" w:rsidP="00F2061A">
            <w:r>
              <w:t>11/04/14</w:t>
            </w:r>
          </w:p>
          <w:p w:rsidR="0057237C" w:rsidRDefault="0057237C" w:rsidP="00F2061A"/>
        </w:tc>
      </w:tr>
      <w:tr w:rsidR="0057237C" w:rsidTr="00F2061A">
        <w:trPr>
          <w:trHeight w:val="270"/>
        </w:trPr>
        <w:tc>
          <w:tcPr>
            <w:tcW w:w="1872" w:type="dxa"/>
          </w:tcPr>
          <w:p w:rsidR="0057237C" w:rsidRDefault="0057237C" w:rsidP="00F2061A">
            <w:r>
              <w:t>04</w:t>
            </w:r>
          </w:p>
        </w:tc>
        <w:tc>
          <w:tcPr>
            <w:tcW w:w="1872" w:type="dxa"/>
          </w:tcPr>
          <w:p w:rsidR="0057237C" w:rsidRDefault="0057237C" w:rsidP="00F2061A">
            <w:r>
              <w:t>Sandi B. Sternberg</w:t>
            </w:r>
          </w:p>
        </w:tc>
        <w:tc>
          <w:tcPr>
            <w:tcW w:w="4032" w:type="dxa"/>
          </w:tcPr>
          <w:p w:rsidR="0057237C" w:rsidRDefault="0057237C" w:rsidP="00F2061A">
            <w:r>
              <w:t xml:space="preserve">Added Vortex and </w:t>
            </w:r>
            <w:proofErr w:type="spellStart"/>
            <w:r>
              <w:t>Sonicator</w:t>
            </w:r>
            <w:proofErr w:type="spellEnd"/>
            <w:r>
              <w:t xml:space="preserve"> information to Instrumentation section.</w:t>
            </w:r>
          </w:p>
        </w:tc>
        <w:tc>
          <w:tcPr>
            <w:tcW w:w="1728" w:type="dxa"/>
          </w:tcPr>
          <w:p w:rsidR="0057237C" w:rsidRDefault="0057237C" w:rsidP="00F2061A">
            <w:r>
              <w:t>11/05/14</w:t>
            </w:r>
          </w:p>
        </w:tc>
      </w:tr>
      <w:tr w:rsidR="007F0189" w:rsidTr="007F0189">
        <w:trPr>
          <w:trHeight w:val="270"/>
        </w:trPr>
        <w:tc>
          <w:tcPr>
            <w:tcW w:w="1872" w:type="dxa"/>
          </w:tcPr>
          <w:p w:rsidR="007F0189" w:rsidRDefault="007F0189" w:rsidP="00F2061A">
            <w:r>
              <w:t>05</w:t>
            </w:r>
          </w:p>
        </w:tc>
        <w:tc>
          <w:tcPr>
            <w:tcW w:w="1872" w:type="dxa"/>
          </w:tcPr>
          <w:p w:rsidR="007F0189" w:rsidRDefault="007F0189" w:rsidP="00F2061A">
            <w:r>
              <w:t>Sandi B. Sternberg</w:t>
            </w:r>
          </w:p>
        </w:tc>
        <w:tc>
          <w:tcPr>
            <w:tcW w:w="4032" w:type="dxa"/>
          </w:tcPr>
          <w:p w:rsidR="007F0189" w:rsidRDefault="007F0189" w:rsidP="00F2061A">
            <w:r>
              <w:t>Added step in procedure to accommodate Internal standards.</w:t>
            </w:r>
          </w:p>
        </w:tc>
        <w:tc>
          <w:tcPr>
            <w:tcW w:w="1728" w:type="dxa"/>
          </w:tcPr>
          <w:p w:rsidR="007F0189" w:rsidRDefault="007F0189" w:rsidP="00F2061A">
            <w:r>
              <w:t>11/07/14</w:t>
            </w:r>
          </w:p>
          <w:p w:rsidR="007F0189" w:rsidRDefault="007F0189" w:rsidP="00F2061A"/>
        </w:tc>
      </w:tr>
      <w:tr w:rsidR="007F0189" w:rsidTr="00F2061A">
        <w:trPr>
          <w:trHeight w:val="270"/>
        </w:trPr>
        <w:tc>
          <w:tcPr>
            <w:tcW w:w="1872" w:type="dxa"/>
          </w:tcPr>
          <w:p w:rsidR="007F0189" w:rsidRDefault="007F0189" w:rsidP="00F2061A">
            <w:r>
              <w:t>06</w:t>
            </w:r>
          </w:p>
        </w:tc>
        <w:tc>
          <w:tcPr>
            <w:tcW w:w="1872" w:type="dxa"/>
          </w:tcPr>
          <w:p w:rsidR="007F0189" w:rsidRDefault="007F0189" w:rsidP="00F2061A">
            <w:r>
              <w:t>Sandi B. Sternberg</w:t>
            </w:r>
          </w:p>
        </w:tc>
        <w:tc>
          <w:tcPr>
            <w:tcW w:w="4032" w:type="dxa"/>
          </w:tcPr>
          <w:p w:rsidR="007F0189" w:rsidRDefault="007F0189" w:rsidP="00F2061A">
            <w:r>
              <w:t>Added information for Appendix A</w:t>
            </w:r>
          </w:p>
        </w:tc>
        <w:tc>
          <w:tcPr>
            <w:tcW w:w="1728" w:type="dxa"/>
          </w:tcPr>
          <w:p w:rsidR="007F0189" w:rsidRDefault="007F0189" w:rsidP="00F2061A">
            <w:r>
              <w:t>01/29/15</w:t>
            </w:r>
          </w:p>
        </w:tc>
      </w:tr>
    </w:tbl>
    <w:p w:rsidR="0057237C" w:rsidRDefault="0057237C" w:rsidP="0057237C"/>
    <w:p w:rsidR="008712E4" w:rsidRDefault="0057237C" w:rsidP="007F0189">
      <w:pPr>
        <w:pStyle w:val="ListParagraph"/>
      </w:pPr>
      <w:r>
        <w:tab/>
      </w:r>
      <w:bookmarkStart w:id="0" w:name="_GoBack"/>
      <w:bookmarkEnd w:id="0"/>
    </w:p>
    <w:sectPr w:rsidR="008712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95" w:rsidRDefault="00F93795" w:rsidP="003A323B">
      <w:pPr>
        <w:spacing w:after="0" w:line="240" w:lineRule="auto"/>
      </w:pPr>
      <w:r>
        <w:separator/>
      </w:r>
    </w:p>
  </w:endnote>
  <w:endnote w:type="continuationSeparator" w:id="0">
    <w:p w:rsidR="00F93795" w:rsidRDefault="00F93795" w:rsidP="003A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D4" w:rsidRDefault="00400C79" w:rsidP="004A1FD4">
    <w:pPr>
      <w:pStyle w:val="Footer"/>
      <w:jc w:val="right"/>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pPr>
    <w:r w:rsidRPr="00400C79">
      <w:rPr>
        <w:noProof/>
        <w:color w:val="4F81BD" w:themeColor="accent1"/>
        <w14:shadow w14:blurRad="50800" w14:dist="38100" w14:dir="2700000" w14:sx="100000" w14:sy="100000" w14:kx="0" w14:ky="0" w14:algn="tl">
          <w14:srgbClr w14:val="000000">
            <w14:alpha w14:val="60000"/>
          </w14:srgbClr>
        </w14:shadow>
        <w14:numForm w14:val="oldStyle"/>
      </w:rPr>
      <mc:AlternateContent>
        <mc:Choice Requires="wps">
          <w:drawing>
            <wp:anchor distT="0" distB="0" distL="114300" distR="114300" simplePos="0" relativeHeight="251659264" behindDoc="0" locked="0" layoutInCell="1" allowOverlap="1" wp14:anchorId="60AF738D" wp14:editId="45F0D83E">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sidRPr="00400C79">
      <w:rPr>
        <w:color w:val="4F81BD" w:themeColor="accent1"/>
        <w14:shadow w14:blurRad="50800" w14:dist="38100" w14:dir="2700000" w14:sx="100000" w14:sy="100000" w14:kx="0" w14:ky="0" w14:algn="tl">
          <w14:srgbClr w14:val="000000">
            <w14:alpha w14:val="60000"/>
          </w14:srgbClr>
        </w14:shadow>
        <w14:numForm w14:val="oldStyle"/>
      </w:rPr>
      <w:t xml:space="preserve"> </w:t>
    </w:r>
    <w:r w:rsidRPr="00400C79">
      <w:rPr>
        <w:rFonts w:asciiTheme="majorHAnsi" w:eastAsiaTheme="majorEastAsia" w:hAnsiTheme="majorHAnsi" w:cstheme="majorBidi"/>
        <w:color w:val="4F81BD" w:themeColor="accent1"/>
        <w:sz w:val="20"/>
        <w:szCs w:val="20"/>
        <w14:shadow w14:blurRad="50800" w14:dist="38100" w14:dir="2700000" w14:sx="100000" w14:sy="100000" w14:kx="0" w14:ky="0" w14:algn="tl">
          <w14:srgbClr w14:val="000000">
            <w14:alpha w14:val="60000"/>
          </w14:srgbClr>
        </w14:shadow>
        <w14:numForm w14:val="oldStyle"/>
      </w:rPr>
      <w:t xml:space="preserve">pg. </w:t>
    </w:r>
    <w:r w:rsidRPr="00400C79">
      <w:rPr>
        <w:rFonts w:eastAsiaTheme="minorEastAsia"/>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begin"/>
    </w:r>
    <w:r w:rsidRPr="00400C79">
      <w:rPr>
        <w:color w:val="4F81BD" w:themeColor="accen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400C79">
      <w:rPr>
        <w:rFonts w:eastAsiaTheme="minorEastAsia"/>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separate"/>
    </w:r>
    <w:r w:rsidR="007F0189" w:rsidRPr="007F0189">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2</w:t>
    </w:r>
    <w:r w:rsidRPr="00400C79">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004A1FD4">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 xml:space="preserve"> of </w:t>
    </w:r>
    <w:r w:rsidR="0057237C">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95" w:rsidRDefault="00F93795" w:rsidP="003A323B">
      <w:pPr>
        <w:spacing w:after="0" w:line="240" w:lineRule="auto"/>
      </w:pPr>
      <w:r>
        <w:separator/>
      </w:r>
    </w:p>
  </w:footnote>
  <w:footnote w:type="continuationSeparator" w:id="0">
    <w:p w:rsidR="00F93795" w:rsidRDefault="00F93795" w:rsidP="003A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4" w:rsidRDefault="005D0924">
    <w:pPr>
      <w:pStyle w:val="Header"/>
    </w:pPr>
  </w:p>
  <w:tbl>
    <w:tblPr>
      <w:tblStyle w:val="TableGrid"/>
      <w:tblW w:w="10435" w:type="dxa"/>
      <w:tblLook w:val="04A0" w:firstRow="1" w:lastRow="0" w:firstColumn="1" w:lastColumn="0" w:noHBand="0" w:noVBand="1"/>
    </w:tblPr>
    <w:tblGrid>
      <w:gridCol w:w="3654"/>
      <w:gridCol w:w="1561"/>
      <w:gridCol w:w="1778"/>
      <w:gridCol w:w="3442"/>
    </w:tblGrid>
    <w:tr w:rsidR="00156060" w:rsidTr="00E93224">
      <w:trPr>
        <w:trHeight w:val="890"/>
      </w:trPr>
      <w:tc>
        <w:tcPr>
          <w:tcW w:w="5215" w:type="dxa"/>
          <w:gridSpan w:val="2"/>
          <w:vAlign w:val="center"/>
        </w:tcPr>
        <w:p w:rsidR="00156060" w:rsidRDefault="00156060" w:rsidP="00E93224">
          <w:pPr>
            <w:jc w:val="center"/>
          </w:pPr>
          <w:r>
            <w:rPr>
              <w:noProof/>
            </w:rPr>
            <w:drawing>
              <wp:inline distT="0" distB="0" distL="0" distR="0" wp14:anchorId="61D8CC86" wp14:editId="552B2A96">
                <wp:extent cx="2638425" cy="484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ignatur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822" cy="483667"/>
                        </a:xfrm>
                        <a:prstGeom prst="rect">
                          <a:avLst/>
                        </a:prstGeom>
                      </pic:spPr>
                    </pic:pic>
                  </a:graphicData>
                </a:graphic>
              </wp:inline>
            </w:drawing>
          </w:r>
        </w:p>
      </w:tc>
      <w:tc>
        <w:tcPr>
          <w:tcW w:w="5219" w:type="dxa"/>
          <w:gridSpan w:val="2"/>
          <w:vAlign w:val="center"/>
        </w:tcPr>
        <w:p w:rsidR="00156060" w:rsidRPr="006400DD" w:rsidRDefault="00156060" w:rsidP="00E93224">
          <w:pPr>
            <w:spacing w:before="120" w:after="120"/>
            <w:jc w:val="center"/>
            <w:rPr>
              <w:rFonts w:ascii="Georgia" w:hAnsi="Georgia"/>
              <w:b/>
              <w:color w:val="00408A"/>
              <w:sz w:val="21"/>
              <w:szCs w:val="21"/>
            </w:rPr>
          </w:pPr>
          <w:r w:rsidRPr="006400DD">
            <w:rPr>
              <w:rFonts w:ascii="Georgia" w:hAnsi="Georgia"/>
              <w:b/>
              <w:color w:val="00408A"/>
              <w:sz w:val="20"/>
              <w:szCs w:val="21"/>
            </w:rPr>
            <w:t>Southeast Center for Integrated Metabolomics</w:t>
          </w:r>
        </w:p>
        <w:p w:rsidR="00156060" w:rsidRPr="00D26567" w:rsidRDefault="00156060" w:rsidP="00E93224">
          <w:pPr>
            <w:spacing w:after="120"/>
            <w:jc w:val="center"/>
            <w:rPr>
              <w:i/>
            </w:rPr>
          </w:pPr>
          <w:r w:rsidRPr="006400DD">
            <w:rPr>
              <w:rFonts w:ascii="Georgia" w:hAnsi="Georgia"/>
              <w:b/>
              <w:i/>
              <w:color w:val="00408A"/>
              <w:sz w:val="20"/>
            </w:rPr>
            <w:t>Clinical and Translational Science Institute</w:t>
          </w:r>
        </w:p>
      </w:tc>
    </w:tr>
    <w:tr w:rsidR="00156060" w:rsidTr="00E93224">
      <w:trPr>
        <w:trHeight w:val="387"/>
      </w:trPr>
      <w:tc>
        <w:tcPr>
          <w:tcW w:w="3654" w:type="dxa"/>
          <w:vAlign w:val="center"/>
        </w:tcPr>
        <w:p w:rsidR="00156060" w:rsidRDefault="0057237C" w:rsidP="007C448E">
          <w:pPr>
            <w:jc w:val="center"/>
          </w:pPr>
          <w:r>
            <w:rPr>
              <w:rFonts w:ascii="Georgia" w:hAnsi="Georgia" w:cs="Arabic Typesetting"/>
              <w:sz w:val="14"/>
            </w:rPr>
            <w:t>Sample Preparation of Maize Tissue</w:t>
          </w:r>
        </w:p>
      </w:tc>
      <w:tc>
        <w:tcPr>
          <w:tcW w:w="3339" w:type="dxa"/>
          <w:gridSpan w:val="2"/>
          <w:vAlign w:val="center"/>
        </w:tcPr>
        <w:p w:rsidR="00156060" w:rsidRDefault="00156060" w:rsidP="0057237C">
          <w:pPr>
            <w:jc w:val="center"/>
          </w:pPr>
          <w:r w:rsidRPr="00156060">
            <w:rPr>
              <w:rFonts w:ascii="Georgia" w:hAnsi="Georgia" w:cs="Arabic Typesetting"/>
              <w:sz w:val="14"/>
            </w:rPr>
            <w:t xml:space="preserve">SOP: </w:t>
          </w:r>
          <w:r w:rsidR="0057237C">
            <w:rPr>
              <w:rFonts w:ascii="Georgia" w:hAnsi="Georgia" w:cs="Arabic Typesetting"/>
              <w:sz w:val="14"/>
            </w:rPr>
            <w:t>Sample</w:t>
          </w:r>
          <w:r w:rsidRPr="00156060">
            <w:rPr>
              <w:rFonts w:ascii="Georgia" w:hAnsi="Georgia" w:cs="Arabic Typesetting"/>
              <w:sz w:val="14"/>
            </w:rPr>
            <w:t>_</w:t>
          </w:r>
          <w:r w:rsidR="0057237C">
            <w:rPr>
              <w:rFonts w:ascii="Georgia" w:hAnsi="Georgia" w:cs="Arabic Typesetting"/>
              <w:sz w:val="14"/>
            </w:rPr>
            <w:t>Preparation_</w:t>
          </w:r>
          <w:r w:rsidRPr="00156060">
            <w:rPr>
              <w:rFonts w:ascii="Georgia" w:hAnsi="Georgia" w:cs="Arabic Typesetting"/>
              <w:sz w:val="14"/>
            </w:rPr>
            <w:t xml:space="preserve">01  </w:t>
          </w:r>
          <w:r w:rsidRPr="00156060">
            <w:rPr>
              <w:rFonts w:ascii="Georgia" w:hAnsi="Georgia" w:cs="Arabic Typesetting"/>
              <w:sz w:val="14"/>
            </w:rPr>
            <w:tab/>
            <w:t>Revision: 0</w:t>
          </w:r>
          <w:r w:rsidR="007F0189">
            <w:rPr>
              <w:rFonts w:ascii="Georgia" w:hAnsi="Georgia" w:cs="Arabic Typesetting"/>
              <w:sz w:val="14"/>
            </w:rPr>
            <w:t>6</w:t>
          </w:r>
        </w:p>
      </w:tc>
      <w:tc>
        <w:tcPr>
          <w:tcW w:w="3442" w:type="dxa"/>
          <w:vAlign w:val="center"/>
        </w:tcPr>
        <w:p w:rsidR="00CD7090" w:rsidRPr="00CD7090" w:rsidRDefault="00156060" w:rsidP="007F0189">
          <w:pPr>
            <w:jc w:val="center"/>
            <w:rPr>
              <w:rFonts w:ascii="Georgia" w:hAnsi="Georgia" w:cs="Arabic Typesetting"/>
              <w:sz w:val="16"/>
            </w:rPr>
          </w:pPr>
          <w:r w:rsidRPr="00206345">
            <w:rPr>
              <w:rFonts w:ascii="Georgia" w:hAnsi="Georgia" w:cs="Arabic Typesetting"/>
              <w:sz w:val="16"/>
            </w:rPr>
            <w:t xml:space="preserve">Date Effective: </w:t>
          </w:r>
          <w:r w:rsidR="007F0189">
            <w:rPr>
              <w:rFonts w:ascii="Georgia" w:hAnsi="Georgia" w:cs="Arabic Typesetting"/>
              <w:sz w:val="16"/>
            </w:rPr>
            <w:t>01/29/15</w:t>
          </w:r>
        </w:p>
      </w:tc>
    </w:tr>
  </w:tbl>
  <w:p w:rsidR="003A323B" w:rsidRDefault="003A3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C1A"/>
    <w:multiLevelType w:val="hybridMultilevel"/>
    <w:tmpl w:val="8F4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6547"/>
    <w:multiLevelType w:val="hybridMultilevel"/>
    <w:tmpl w:val="62A4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438C8"/>
    <w:multiLevelType w:val="hybridMultilevel"/>
    <w:tmpl w:val="22600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9A5223"/>
    <w:multiLevelType w:val="hybridMultilevel"/>
    <w:tmpl w:val="4DFA0506"/>
    <w:lvl w:ilvl="0" w:tplc="B8985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03942"/>
    <w:multiLevelType w:val="hybridMultilevel"/>
    <w:tmpl w:val="B50C01D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2BA4607D"/>
    <w:multiLevelType w:val="hybridMultilevel"/>
    <w:tmpl w:val="D96ED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BA1E31"/>
    <w:multiLevelType w:val="hybridMultilevel"/>
    <w:tmpl w:val="E250A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7D5977"/>
    <w:multiLevelType w:val="hybridMultilevel"/>
    <w:tmpl w:val="F630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D3778C"/>
    <w:multiLevelType w:val="hybridMultilevel"/>
    <w:tmpl w:val="F84C0B90"/>
    <w:lvl w:ilvl="0" w:tplc="52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13411"/>
    <w:multiLevelType w:val="hybridMultilevel"/>
    <w:tmpl w:val="7434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DA079E"/>
    <w:multiLevelType w:val="hybridMultilevel"/>
    <w:tmpl w:val="E4180FE4"/>
    <w:lvl w:ilvl="0" w:tplc="52CE0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2"/>
  </w:num>
  <w:num w:numId="6">
    <w:abstractNumId w:val="10"/>
  </w:num>
  <w:num w:numId="7">
    <w:abstractNumId w:val="4"/>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A2"/>
    <w:rsid w:val="00007140"/>
    <w:rsid w:val="000131D7"/>
    <w:rsid w:val="000A4AAB"/>
    <w:rsid w:val="000C6768"/>
    <w:rsid w:val="000E695B"/>
    <w:rsid w:val="000F0504"/>
    <w:rsid w:val="00107418"/>
    <w:rsid w:val="00144A16"/>
    <w:rsid w:val="00145188"/>
    <w:rsid w:val="00156060"/>
    <w:rsid w:val="00157923"/>
    <w:rsid w:val="00161AEE"/>
    <w:rsid w:val="00165D02"/>
    <w:rsid w:val="00181DE7"/>
    <w:rsid w:val="001859B6"/>
    <w:rsid w:val="001D0BD8"/>
    <w:rsid w:val="001D33D8"/>
    <w:rsid w:val="001D78EC"/>
    <w:rsid w:val="001E0072"/>
    <w:rsid w:val="00203DA2"/>
    <w:rsid w:val="00223386"/>
    <w:rsid w:val="002334DE"/>
    <w:rsid w:val="0023707A"/>
    <w:rsid w:val="00237FDA"/>
    <w:rsid w:val="002501BA"/>
    <w:rsid w:val="00261DFC"/>
    <w:rsid w:val="00276A9F"/>
    <w:rsid w:val="00277128"/>
    <w:rsid w:val="002806C8"/>
    <w:rsid w:val="00284C5C"/>
    <w:rsid w:val="002879DE"/>
    <w:rsid w:val="00296541"/>
    <w:rsid w:val="002A0C35"/>
    <w:rsid w:val="002B208B"/>
    <w:rsid w:val="002B6364"/>
    <w:rsid w:val="002C206B"/>
    <w:rsid w:val="002F17DF"/>
    <w:rsid w:val="002F5B76"/>
    <w:rsid w:val="00306B5B"/>
    <w:rsid w:val="00322402"/>
    <w:rsid w:val="00335273"/>
    <w:rsid w:val="003616F1"/>
    <w:rsid w:val="00373D3A"/>
    <w:rsid w:val="00390DD0"/>
    <w:rsid w:val="003A05DF"/>
    <w:rsid w:val="003A323B"/>
    <w:rsid w:val="003B40EB"/>
    <w:rsid w:val="003F01E8"/>
    <w:rsid w:val="00400C79"/>
    <w:rsid w:val="00401D72"/>
    <w:rsid w:val="00410FA9"/>
    <w:rsid w:val="004223BC"/>
    <w:rsid w:val="0044097C"/>
    <w:rsid w:val="00465D47"/>
    <w:rsid w:val="004731D0"/>
    <w:rsid w:val="00496EDE"/>
    <w:rsid w:val="004A1FD4"/>
    <w:rsid w:val="004B1518"/>
    <w:rsid w:val="004E0327"/>
    <w:rsid w:val="004E44B9"/>
    <w:rsid w:val="004F65CC"/>
    <w:rsid w:val="00505E4F"/>
    <w:rsid w:val="00554457"/>
    <w:rsid w:val="005660AD"/>
    <w:rsid w:val="0057237C"/>
    <w:rsid w:val="005B0881"/>
    <w:rsid w:val="005D0924"/>
    <w:rsid w:val="005E6142"/>
    <w:rsid w:val="005F114B"/>
    <w:rsid w:val="005F1841"/>
    <w:rsid w:val="00622E53"/>
    <w:rsid w:val="00634321"/>
    <w:rsid w:val="00664A43"/>
    <w:rsid w:val="00683E32"/>
    <w:rsid w:val="006E0011"/>
    <w:rsid w:val="006E0315"/>
    <w:rsid w:val="00705852"/>
    <w:rsid w:val="00713AFC"/>
    <w:rsid w:val="00735A22"/>
    <w:rsid w:val="00797D74"/>
    <w:rsid w:val="007A0F47"/>
    <w:rsid w:val="007A6F1B"/>
    <w:rsid w:val="007C448E"/>
    <w:rsid w:val="007E35B4"/>
    <w:rsid w:val="007E5BAC"/>
    <w:rsid w:val="007F0189"/>
    <w:rsid w:val="007F56C4"/>
    <w:rsid w:val="00863F89"/>
    <w:rsid w:val="00864A47"/>
    <w:rsid w:val="008712E4"/>
    <w:rsid w:val="008A4A13"/>
    <w:rsid w:val="008B2739"/>
    <w:rsid w:val="008D3C08"/>
    <w:rsid w:val="00933151"/>
    <w:rsid w:val="009344B1"/>
    <w:rsid w:val="00953667"/>
    <w:rsid w:val="009768BE"/>
    <w:rsid w:val="009A4391"/>
    <w:rsid w:val="009B6B15"/>
    <w:rsid w:val="00A06DA6"/>
    <w:rsid w:val="00A15D07"/>
    <w:rsid w:val="00AA7CA0"/>
    <w:rsid w:val="00AE056E"/>
    <w:rsid w:val="00AE6D24"/>
    <w:rsid w:val="00B02C7F"/>
    <w:rsid w:val="00B204C6"/>
    <w:rsid w:val="00B23DAE"/>
    <w:rsid w:val="00B40797"/>
    <w:rsid w:val="00B4737A"/>
    <w:rsid w:val="00B62363"/>
    <w:rsid w:val="00B75457"/>
    <w:rsid w:val="00B7620E"/>
    <w:rsid w:val="00B90C9D"/>
    <w:rsid w:val="00B928B4"/>
    <w:rsid w:val="00BC5DFA"/>
    <w:rsid w:val="00BD07DE"/>
    <w:rsid w:val="00BD1FF2"/>
    <w:rsid w:val="00BE12B7"/>
    <w:rsid w:val="00BF7675"/>
    <w:rsid w:val="00C04766"/>
    <w:rsid w:val="00C2760C"/>
    <w:rsid w:val="00C34E35"/>
    <w:rsid w:val="00C455D1"/>
    <w:rsid w:val="00C47588"/>
    <w:rsid w:val="00C53957"/>
    <w:rsid w:val="00C64819"/>
    <w:rsid w:val="00C661F4"/>
    <w:rsid w:val="00C7074D"/>
    <w:rsid w:val="00C742BF"/>
    <w:rsid w:val="00C91D26"/>
    <w:rsid w:val="00CB6E67"/>
    <w:rsid w:val="00CD7090"/>
    <w:rsid w:val="00D467E4"/>
    <w:rsid w:val="00D66AE7"/>
    <w:rsid w:val="00D813A8"/>
    <w:rsid w:val="00D92997"/>
    <w:rsid w:val="00DA192E"/>
    <w:rsid w:val="00DB3F25"/>
    <w:rsid w:val="00DC366D"/>
    <w:rsid w:val="00DC6B3D"/>
    <w:rsid w:val="00DC6B9C"/>
    <w:rsid w:val="00DD1BA8"/>
    <w:rsid w:val="00DE0247"/>
    <w:rsid w:val="00DE6147"/>
    <w:rsid w:val="00E010F5"/>
    <w:rsid w:val="00E25D49"/>
    <w:rsid w:val="00E829CD"/>
    <w:rsid w:val="00EC62A1"/>
    <w:rsid w:val="00F441AA"/>
    <w:rsid w:val="00F5519E"/>
    <w:rsid w:val="00F64759"/>
    <w:rsid w:val="00F90B9A"/>
    <w:rsid w:val="00F93795"/>
    <w:rsid w:val="00FC3E03"/>
    <w:rsid w:val="00FC3EAB"/>
    <w:rsid w:val="00FD294A"/>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3B"/>
  </w:style>
  <w:style w:type="paragraph" w:styleId="Footer">
    <w:name w:val="footer"/>
    <w:basedOn w:val="Normal"/>
    <w:link w:val="FooterChar"/>
    <w:uiPriority w:val="99"/>
    <w:unhideWhenUsed/>
    <w:rsid w:val="003A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3B"/>
  </w:style>
  <w:style w:type="paragraph" w:styleId="BalloonText">
    <w:name w:val="Balloon Text"/>
    <w:basedOn w:val="Normal"/>
    <w:link w:val="BalloonTextChar"/>
    <w:uiPriority w:val="99"/>
    <w:semiHidden/>
    <w:unhideWhenUsed/>
    <w:rsid w:val="003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3B"/>
    <w:rPr>
      <w:rFonts w:ascii="Tahoma" w:hAnsi="Tahoma" w:cs="Tahoma"/>
      <w:sz w:val="16"/>
      <w:szCs w:val="16"/>
    </w:rPr>
  </w:style>
  <w:style w:type="paragraph" w:styleId="ListParagraph">
    <w:name w:val="List Paragraph"/>
    <w:basedOn w:val="Normal"/>
    <w:uiPriority w:val="34"/>
    <w:qFormat/>
    <w:rsid w:val="008712E4"/>
    <w:pPr>
      <w:ind w:left="720"/>
      <w:contextualSpacing/>
    </w:pPr>
  </w:style>
  <w:style w:type="table" w:styleId="TableGrid">
    <w:name w:val="Table Grid"/>
    <w:basedOn w:val="TableNormal"/>
    <w:uiPriority w:val="59"/>
    <w:rsid w:val="00D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3B"/>
  </w:style>
  <w:style w:type="paragraph" w:styleId="Footer">
    <w:name w:val="footer"/>
    <w:basedOn w:val="Normal"/>
    <w:link w:val="FooterChar"/>
    <w:uiPriority w:val="99"/>
    <w:unhideWhenUsed/>
    <w:rsid w:val="003A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3B"/>
  </w:style>
  <w:style w:type="paragraph" w:styleId="BalloonText">
    <w:name w:val="Balloon Text"/>
    <w:basedOn w:val="Normal"/>
    <w:link w:val="BalloonTextChar"/>
    <w:uiPriority w:val="99"/>
    <w:semiHidden/>
    <w:unhideWhenUsed/>
    <w:rsid w:val="003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3B"/>
    <w:rPr>
      <w:rFonts w:ascii="Tahoma" w:hAnsi="Tahoma" w:cs="Tahoma"/>
      <w:sz w:val="16"/>
      <w:szCs w:val="16"/>
    </w:rPr>
  </w:style>
  <w:style w:type="paragraph" w:styleId="ListParagraph">
    <w:name w:val="List Paragraph"/>
    <w:basedOn w:val="Normal"/>
    <w:uiPriority w:val="34"/>
    <w:qFormat/>
    <w:rsid w:val="008712E4"/>
    <w:pPr>
      <w:ind w:left="720"/>
      <w:contextualSpacing/>
    </w:pPr>
  </w:style>
  <w:style w:type="table" w:styleId="TableGrid">
    <w:name w:val="Table Grid"/>
    <w:basedOn w:val="TableNormal"/>
    <w:uiPriority w:val="59"/>
    <w:rsid w:val="00D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2462F-6928-4B6E-9E96-731C5A5E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CTSI-SECIM</vt:lpstr>
    </vt:vector>
  </TitlesOfParts>
  <Company>University of Florida Academic Health Center</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CTSI-SECIM</dc:title>
  <dc:creator>Batson,Sandi</dc:creator>
  <cp:lastModifiedBy>Batson,Sandi</cp:lastModifiedBy>
  <cp:revision>3</cp:revision>
  <cp:lastPrinted>2014-11-19T16:34:00Z</cp:lastPrinted>
  <dcterms:created xsi:type="dcterms:W3CDTF">2015-01-29T21:12:00Z</dcterms:created>
  <dcterms:modified xsi:type="dcterms:W3CDTF">2015-01-29T21:15:00Z</dcterms:modified>
</cp:coreProperties>
</file>