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712" w:rsidRPr="00F93DF6" w:rsidRDefault="00260712" w:rsidP="002607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3DF6">
        <w:rPr>
          <w:rFonts w:ascii="Times New Roman" w:hAnsi="Times New Roman" w:cs="Times New Roman"/>
          <w:b/>
          <w:bCs/>
          <w:sz w:val="24"/>
          <w:szCs w:val="24"/>
        </w:rPr>
        <w:t>Liquid chromatography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F93DF6">
        <w:rPr>
          <w:rFonts w:ascii="Times New Roman" w:hAnsi="Times New Roman" w:cs="Times New Roman"/>
          <w:b/>
          <w:bCs/>
          <w:sz w:val="24"/>
          <w:szCs w:val="24"/>
        </w:rPr>
        <w:t>tandem mass spectrometry:</w:t>
      </w:r>
    </w:p>
    <w:p w:rsidR="00260712" w:rsidRPr="00914D2E" w:rsidRDefault="00260712" w:rsidP="002607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4D2E">
        <w:rPr>
          <w:rFonts w:ascii="Times New Roman" w:hAnsi="Times New Roman" w:cs="Times New Roman"/>
          <w:sz w:val="24"/>
          <w:szCs w:val="24"/>
        </w:rPr>
        <w:t>Three different chromatographic methods, includ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914D2E">
        <w:rPr>
          <w:rFonts w:ascii="Times New Roman" w:hAnsi="Times New Roman" w:cs="Times New Roman"/>
          <w:sz w:val="24"/>
          <w:szCs w:val="24"/>
        </w:rPr>
        <w:t xml:space="preserve"> a HILIC, a reverse phased C18 and a reverse phased C8 columns, were used to attain a wide coverage of compound groups. </w:t>
      </w:r>
      <w:r>
        <w:rPr>
          <w:rFonts w:ascii="Times New Roman" w:hAnsi="Times New Roman" w:cs="Times New Roman"/>
          <w:sz w:val="24"/>
          <w:szCs w:val="24"/>
        </w:rPr>
        <w:t>The a</w:t>
      </w:r>
      <w:r w:rsidRPr="00914D2E">
        <w:rPr>
          <w:rFonts w:ascii="Times New Roman" w:hAnsi="Times New Roman" w:cs="Times New Roman"/>
          <w:sz w:val="24"/>
          <w:szCs w:val="24"/>
        </w:rPr>
        <w:t>queous fraction of the extraction</w:t>
      </w:r>
      <w:r>
        <w:rPr>
          <w:rFonts w:ascii="Times New Roman" w:hAnsi="Times New Roman" w:cs="Times New Roman"/>
          <w:sz w:val="24"/>
          <w:szCs w:val="24"/>
        </w:rPr>
        <w:t xml:space="preserve">, which is </w:t>
      </w:r>
      <w:r w:rsidRPr="00914D2E">
        <w:rPr>
          <w:rFonts w:ascii="Times New Roman" w:hAnsi="Times New Roman" w:cs="Times New Roman"/>
          <w:sz w:val="24"/>
          <w:szCs w:val="24"/>
        </w:rPr>
        <w:t xml:space="preserve">expected to contain core and specialized metabolic intermediates, was used for HILIC and C18 chromatography, while the organic fraction was used for C8 based chromatography 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14D2E">
        <w:rPr>
          <w:rFonts w:ascii="Times New Roman" w:hAnsi="Times New Roman" w:cs="Times New Roman"/>
          <w:sz w:val="24"/>
          <w:szCs w:val="24"/>
        </w:rPr>
        <w:t xml:space="preserve">separation of lipids. An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Eksigent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Ekspert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microLC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200-chromatography system and a CTC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14D2E">
        <w:rPr>
          <w:rFonts w:ascii="Times New Roman" w:hAnsi="Times New Roman" w:cs="Times New Roman"/>
          <w:sz w:val="24"/>
          <w:szCs w:val="24"/>
        </w:rPr>
        <w:t>nalytics Leap HTS PAL liquid handler hooked to a benchtop Q-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Exactive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Orbitrap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MS was used for all untargeted LC-MS analysis. HILIC separation was achieved using a custom made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zic-pHILIC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(100 x 0.5 x 3 µm) column obtained from Higgins Analytical Inc. (Mountain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914D2E">
        <w:rPr>
          <w:rFonts w:ascii="Times New Roman" w:hAnsi="Times New Roman" w:cs="Times New Roman"/>
          <w:sz w:val="24"/>
          <w:szCs w:val="24"/>
        </w:rPr>
        <w:t xml:space="preserve">iew, CA) with the mobile phases, 10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ammonium bicarbonate in ddH2O (solvent A) and 10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ammonium bicarbonate in 95:5 (v/v) Acetonitrile: ddH2O (solvent B) and a flow rate of 15 µL/min. The following gradient was used for HILIC; 0-2 min at 100% B, 3 min at 85% B, 16 min at 50% B, 17 min at 30% B, 18 min at 30 % B, 20 min back to 100% B and equilibration up to 30 min. Reverse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14D2E">
        <w:rPr>
          <w:rFonts w:ascii="Times New Roman" w:hAnsi="Times New Roman" w:cs="Times New Roman"/>
          <w:sz w:val="24"/>
          <w:szCs w:val="24"/>
        </w:rPr>
        <w:t>phase chromatography was performed using a Targa C18 (100 x 0.3 x 5 µm) column with the mobile phases, 0.1 % formic acid in ddH2O (Solvent A) and 0.1 % formic acid in Acetonitrile (Solvent B), and a flow rate of 15 µL/min. The gradient conditions used for the C18 method are as follows; 0-3 min at 2% B, 13 min at 100% B, 16 min at 100% B, 19 min at 2% 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4D2E">
        <w:rPr>
          <w:rFonts w:ascii="Times New Roman" w:hAnsi="Times New Roman" w:cs="Times New Roman"/>
          <w:sz w:val="24"/>
          <w:szCs w:val="24"/>
        </w:rPr>
        <w:t xml:space="preserve"> and equilibration up to 30 min. For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lipidomics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, a custom-made C8 column (100 x 0.5 x 1.7 µm) from Higgins Analytical Inc. (Mountain view, CA) was used with the mobile phases 1% 1 M ammonium acetate, 0.1% acetic acid in ddH2O (solvent A) and </w:t>
      </w:r>
      <w:bookmarkStart w:id="0" w:name="_GoBack"/>
      <w:r w:rsidR="005426B4">
        <w:rPr>
          <w:rFonts w:ascii="Times New Roman" w:hAnsi="Times New Roman" w:cs="Times New Roman"/>
          <w:sz w:val="24"/>
          <w:szCs w:val="24"/>
        </w:rPr>
        <w:t>1</w:t>
      </w:r>
      <w:r w:rsidRPr="00914D2E">
        <w:rPr>
          <w:rFonts w:ascii="Times New Roman" w:hAnsi="Times New Roman" w:cs="Times New Roman"/>
          <w:sz w:val="24"/>
          <w:szCs w:val="24"/>
        </w:rPr>
        <w:t>% 1 M ammonium acetate, 0.1% acetic acid in 7:3 (v/v) acetonitrile: isopropanol</w:t>
      </w:r>
      <w:bookmarkEnd w:id="0"/>
      <w:r w:rsidRPr="00914D2E">
        <w:rPr>
          <w:rFonts w:ascii="Times New Roman" w:hAnsi="Times New Roman" w:cs="Times New Roman"/>
          <w:sz w:val="24"/>
          <w:szCs w:val="24"/>
        </w:rPr>
        <w:t xml:space="preserve">, and a flow rate of 40 µL/min. The following gradient modified from Hummel </w:t>
      </w:r>
      <w:r w:rsidRPr="00F342F3">
        <w:rPr>
          <w:rFonts w:ascii="Times New Roman" w:hAnsi="Times New Roman" w:cs="Times New Roman"/>
          <w:i/>
          <w:sz w:val="24"/>
          <w:szCs w:val="24"/>
        </w:rPr>
        <w:t>et al</w:t>
      </w:r>
      <w:r w:rsidRPr="00914D2E">
        <w:rPr>
          <w:rFonts w:ascii="Times New Roman" w:hAnsi="Times New Roman" w:cs="Times New Roman"/>
          <w:sz w:val="24"/>
          <w:szCs w:val="24"/>
        </w:rPr>
        <w:t xml:space="preserve">. (2011) (Hummel </w:t>
      </w:r>
      <w:r w:rsidRPr="00F342F3">
        <w:rPr>
          <w:rFonts w:ascii="Times New Roman" w:hAnsi="Times New Roman" w:cs="Times New Roman"/>
          <w:i/>
          <w:sz w:val="24"/>
          <w:szCs w:val="24"/>
        </w:rPr>
        <w:t>et al</w:t>
      </w:r>
      <w:r w:rsidRPr="00914D2E">
        <w:rPr>
          <w:rFonts w:ascii="Times New Roman" w:hAnsi="Times New Roman" w:cs="Times New Roman"/>
          <w:sz w:val="24"/>
          <w:szCs w:val="24"/>
        </w:rPr>
        <w:t xml:space="preserve">., 2011) to </w:t>
      </w:r>
      <w:r w:rsidRPr="00914D2E">
        <w:rPr>
          <w:rFonts w:ascii="Times New Roman" w:hAnsi="Times New Roman" w:cs="Times New Roman"/>
          <w:sz w:val="24"/>
          <w:szCs w:val="24"/>
        </w:rPr>
        <w:lastRenderedPageBreak/>
        <w:t xml:space="preserve">adopt to </w:t>
      </w:r>
      <w:proofErr w:type="spellStart"/>
      <w:r w:rsidRPr="00914D2E">
        <w:rPr>
          <w:rFonts w:ascii="Times New Roman" w:hAnsi="Times New Roman" w:cs="Times New Roman"/>
          <w:sz w:val="24"/>
          <w:szCs w:val="24"/>
        </w:rPr>
        <w:t>microflow</w:t>
      </w:r>
      <w:proofErr w:type="spellEnd"/>
      <w:r w:rsidRPr="00914D2E">
        <w:rPr>
          <w:rFonts w:ascii="Times New Roman" w:hAnsi="Times New Roman" w:cs="Times New Roman"/>
          <w:sz w:val="24"/>
          <w:szCs w:val="24"/>
        </w:rPr>
        <w:t xml:space="preserve"> was used; 0-1 min at 55% B, 3 min at 75% B, 8 min at 89% B, 10 min at 99% B, 11 min at 99% B and 12 min at 55% B followed by equilibration up to 18 min.</w:t>
      </w:r>
    </w:p>
    <w:sectPr w:rsidR="00260712" w:rsidRPr="00914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FB"/>
    <w:rsid w:val="00227DFB"/>
    <w:rsid w:val="00260712"/>
    <w:rsid w:val="005426B4"/>
    <w:rsid w:val="00576F24"/>
    <w:rsid w:val="00A6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D080F"/>
  <w15:chartTrackingRefBased/>
  <w15:docId w15:val="{027100AD-8909-47A1-9A35-CA9B665C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71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Kambhampati, Shrikaar</dc:creator>
  <cp:keywords/>
  <dc:description/>
  <cp:lastModifiedBy>Kambhampati, Shrikaar</cp:lastModifiedBy>
  <cp:revision>3</cp:revision>
  <dcterms:created xsi:type="dcterms:W3CDTF">2022-01-17T23:45:00Z</dcterms:created>
  <dcterms:modified xsi:type="dcterms:W3CDTF">2022-01-17T23:53:00Z</dcterms:modified>
</cp:coreProperties>
</file>