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C9FC6" w14:textId="68EB99A4" w:rsidR="00B204A2" w:rsidRPr="00B204A2" w:rsidRDefault="00B204A2" w:rsidP="00B204A2">
      <w:pPr>
        <w:spacing w:line="240" w:lineRule="auto"/>
        <w:jc w:val="both"/>
        <w:rPr>
          <w:rFonts w:cstheme="minorHAnsi"/>
        </w:rPr>
      </w:pPr>
      <w:r w:rsidRPr="00B204A2">
        <w:rPr>
          <w:rFonts w:cstheme="minorHAnsi"/>
          <w:b/>
          <w:bCs/>
        </w:rPr>
        <w:t xml:space="preserve">Liquid chromatography neg -pos 4D_PASEF: </w:t>
      </w:r>
      <w:r w:rsidRPr="00B204A2">
        <w:rPr>
          <w:rFonts w:cstheme="minorHAnsi"/>
        </w:rPr>
        <w:t>For negative ion mode, LC separation was achieved with Elute UHPLC (Bruker Daltonics, Germany) using mobile phase A: methanol/water (1:1; v/v) and mobile phase B: methanol/isopropanol (2:8; v/v), both containing 0.1% FA, 7.5 mM ammonium formate, and 0.1% triethylamine, respectively. For positive ion mode, the same solvent system was used without triethylamine. The LC method consisted of a 20 min runtime with the following gradient: T0 to T1 – mobile phase A at 60% and mobile phase B at 40% which was then elevated to 90% mobile phase B and 10% mobile phase by T16 and up to 99% mobile phase B by T16.5 and then escalated back to 40% mobile phase B by T20. A constant flow rate of 0.2 mL/min was maintained throughout the runtime. Throughout the analysis, the auto-sampler was maintained at 4</w:t>
      </w:r>
      <w:r w:rsidRPr="00B204A2">
        <w:rPr>
          <w:rFonts w:cstheme="minorHAnsi"/>
          <w:vertAlign w:val="superscript"/>
        </w:rPr>
        <w:t xml:space="preserve"> o</w:t>
      </w:r>
      <w:r w:rsidRPr="00B204A2">
        <w:rPr>
          <w:rFonts w:cstheme="minorHAnsi"/>
        </w:rPr>
        <w:t xml:space="preserve">C. The samples were injected onto the column with a partial loop mode with an injection volume corresponding to 1µl plasma on the column in negative and 0.5µl plasma on the column in positive ion mode. For the separation, (100x2.1mmx1.6μm) C18 Luna Omega column (Phenomenex, Germany) was used and thermostated at 45°C. </w:t>
      </w:r>
    </w:p>
    <w:p w14:paraId="40801B47" w14:textId="0C425582" w:rsidR="00143C9C" w:rsidRPr="00B204A2" w:rsidRDefault="00B204A2" w:rsidP="00B204A2">
      <w:pPr>
        <w:spacing w:line="240" w:lineRule="auto"/>
        <w:jc w:val="both"/>
        <w:rPr>
          <w:rFonts w:cstheme="minorHAnsi"/>
        </w:rPr>
      </w:pPr>
      <w:r w:rsidRPr="00B204A2">
        <w:rPr>
          <w:rFonts w:cstheme="minorHAnsi"/>
          <w:b/>
          <w:bCs/>
        </w:rPr>
        <w:t>Liquid chromatography MRM:</w:t>
      </w:r>
      <w:r w:rsidRPr="00B204A2">
        <w:rPr>
          <w:rFonts w:cstheme="minorHAnsi"/>
        </w:rPr>
        <w:t xml:space="preserve"> The LC/MRM experiments were carried with polarity switching using an SCIEX 5500 QTrap triple-quadrupole linear ion trap mass spectrometer (Concord, ON, Canada) as previously reported </w:t>
      </w:r>
      <w:r>
        <w:rPr>
          <w:rFonts w:cstheme="minorHAnsi"/>
        </w:rPr>
        <w:t>(</w:t>
      </w:r>
      <w:r w:rsidRPr="00B204A2">
        <w:rPr>
          <w:rFonts w:cstheme="minorHAnsi"/>
        </w:rPr>
        <w:t>Lerner et al. 201</w:t>
      </w:r>
      <w:r w:rsidR="00993D3B">
        <w:rPr>
          <w:rFonts w:cstheme="minorHAnsi"/>
        </w:rPr>
        <w:t>6</w:t>
      </w:r>
      <w:r>
        <w:rPr>
          <w:rFonts w:cstheme="minorHAnsi"/>
        </w:rPr>
        <w:t>)</w:t>
      </w:r>
      <w:r w:rsidRPr="00B204A2">
        <w:rPr>
          <w:rFonts w:cstheme="minorHAnsi"/>
        </w:rPr>
        <w:t>.</w:t>
      </w:r>
      <w:r>
        <w:rPr>
          <w:rFonts w:cstheme="minorHAnsi"/>
        </w:rPr>
        <w:t xml:space="preserve"> </w:t>
      </w:r>
      <w:r w:rsidRPr="00B204A2">
        <w:rPr>
          <w:rFonts w:cstheme="minorHAnsi"/>
        </w:rPr>
        <w:t xml:space="preserve">Chromatographic separation of lipids was achieved using an Ascentis Express 2.7 µm C18 column, 100 mm x 2.1 mm (Supelco, Sigma-Aldrich, München, Germany) combined with a Security Guard precolumn (C18, 4 mm x 2 mm; Phenomenex, Aschaffenburg, Germany). </w:t>
      </w:r>
      <w:r>
        <w:rPr>
          <w:rFonts w:cstheme="minorHAnsi"/>
        </w:rPr>
        <w:t>The</w:t>
      </w:r>
      <w:r w:rsidRPr="00B204A2">
        <w:rPr>
          <w:rFonts w:cstheme="minorHAnsi"/>
        </w:rPr>
        <w:t xml:space="preserve"> column was thermostated at 45°C, in an Agilent 1200 series LC System (Waldbronn, Germany).</w:t>
      </w:r>
      <w:r w:rsidRPr="00B204A2">
        <w:t xml:space="preserve"> </w:t>
      </w:r>
      <w:r>
        <w:rPr>
          <w:rFonts w:cstheme="minorHAnsi"/>
        </w:rPr>
        <w:t>T</w:t>
      </w:r>
      <w:r w:rsidRPr="00B204A2">
        <w:rPr>
          <w:rFonts w:cstheme="minorHAnsi"/>
        </w:rPr>
        <w:t>he mobile phase A consisted of methanol/water (1:1; v/v) containing 7.5 mM ammonium formate and 0.1% TEA and B methanol/isopropanol (2:8; v/v) containing 7.5 mM ammonium formate and 0.1% TEA. The flow rate was 200 µL/min. Gradient elution began at 40% B, held for 3 min and was then linearly increased over 42 min to 90% B, then linearly increased to 99% B in 1 min, held there for 7 min and decreased over 2 min to 40% B. The autosampler tray was kept at 4°C.</w:t>
      </w:r>
    </w:p>
    <w:sectPr w:rsidR="00143C9C" w:rsidRPr="00B204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4A2"/>
    <w:rsid w:val="00143C9C"/>
    <w:rsid w:val="00993D3B"/>
    <w:rsid w:val="00B204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3C310"/>
  <w15:chartTrackingRefBased/>
  <w15:docId w15:val="{7BD472CE-6872-4FD8-B6CA-D9F171AA2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204A2"/>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1898</Characters>
  <Application>Microsoft Office Word</Application>
  <DocSecurity>0</DocSecurity>
  <Lines>15</Lines>
  <Paragraphs>4</Paragraphs>
  <ScaleCrop>false</ScaleCrop>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Lerner, Raissa</dc:creator>
  <cp:keywords/>
  <dc:description/>
  <cp:lastModifiedBy>Lerner, Raissa</cp:lastModifiedBy>
  <cp:revision>2</cp:revision>
  <dcterms:created xsi:type="dcterms:W3CDTF">2022-03-07T13:58:00Z</dcterms:created>
  <dcterms:modified xsi:type="dcterms:W3CDTF">2022-03-07T14:15:00Z</dcterms:modified>
</cp:coreProperties>
</file>