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A3F098" w14:textId="77777777" w:rsidR="007D184B" w:rsidRPr="007D184B" w:rsidRDefault="007D184B" w:rsidP="007D184B">
      <w:pPr>
        <w:jc w:val="both"/>
        <w:rPr>
          <w:rFonts w:ascii="Calibri" w:eastAsia="Calibri" w:hAnsi="Calibri" w:cs="Times New Roman"/>
          <w:sz w:val="24"/>
          <w:szCs w:val="24"/>
          <w:lang w:val="en-US"/>
        </w:rPr>
      </w:pPr>
      <w:r w:rsidRPr="007D184B">
        <w:rPr>
          <w:rFonts w:ascii="Calibri" w:eastAsia="Calibri" w:hAnsi="Calibri" w:cs="Times New Roman"/>
          <w:b/>
          <w:bCs/>
          <w:sz w:val="24"/>
          <w:szCs w:val="24"/>
          <w:lang w:val="en-US"/>
        </w:rPr>
        <w:t>MS acquisition</w:t>
      </w:r>
    </w:p>
    <w:p w14:paraId="2951C4FF" w14:textId="77777777" w:rsidR="007D184B" w:rsidRPr="007D184B" w:rsidRDefault="007D184B" w:rsidP="007D184B">
      <w:pPr>
        <w:jc w:val="both"/>
        <w:rPr>
          <w:rFonts w:ascii="Calibri" w:eastAsia="Calibri" w:hAnsi="Calibri" w:cs="Times New Roman"/>
          <w:sz w:val="24"/>
          <w:szCs w:val="24"/>
          <w:lang w:val="en-US"/>
        </w:rPr>
      </w:pPr>
      <w:r w:rsidRPr="007D184B">
        <w:rPr>
          <w:rFonts w:ascii="Calibri" w:eastAsia="Calibri" w:hAnsi="Calibri" w:cs="Times New Roman"/>
          <w:b/>
          <w:bCs/>
          <w:i/>
          <w:iCs/>
          <w:sz w:val="24"/>
          <w:szCs w:val="24"/>
          <w:lang w:val="en-US"/>
        </w:rPr>
        <w:t>4D-PASEF</w:t>
      </w:r>
      <w:r w:rsidRPr="007D184B">
        <w:rPr>
          <w:rFonts w:ascii="Calibri" w:eastAsia="Calibri" w:hAnsi="Calibri" w:cs="Times New Roman"/>
          <w:b/>
          <w:bCs/>
          <w:sz w:val="24"/>
          <w:szCs w:val="24"/>
          <w:lang w:val="en-US"/>
        </w:rPr>
        <w:t xml:space="preserve">: </w:t>
      </w:r>
      <w:r w:rsidRPr="007D184B">
        <w:rPr>
          <w:rFonts w:ascii="Calibri" w:eastAsia="Calibri" w:hAnsi="Calibri" w:cs="Times New Roman"/>
          <w:sz w:val="24"/>
          <w:szCs w:val="24"/>
          <w:lang w:val="en-US"/>
        </w:rPr>
        <w:t>The 4D-PASEF experiments were acquired using a timsTOF pro instrument for the negative ion mode and timsTOF flex operating in electrospray ionization mode for the positive ion mode (Bruker Daltonics, Germany). The parameters were optimized using standard lipid mixtures and plasma extracts and set as follows: a) Source parameters: End plate offset was set to 500V, while the capillary voltage at 4500V and the nitrogen as the dry gas purged with the rate of 6L/min at 200°C. The nebulizer gas at 2.5 Bar. Scan mode was set to PASEF with the mass scan range of 100 to 1350 Da for both MS and MS</w:t>
      </w:r>
      <w:r w:rsidRPr="007D184B">
        <w:rPr>
          <w:rFonts w:ascii="Calibri" w:eastAsia="Calibri" w:hAnsi="Calibri" w:cs="Times New Roman"/>
          <w:sz w:val="24"/>
          <w:szCs w:val="24"/>
          <w:vertAlign w:val="superscript"/>
          <w:lang w:val="en-US"/>
        </w:rPr>
        <w:t>2</w:t>
      </w:r>
      <w:r w:rsidRPr="007D184B">
        <w:rPr>
          <w:rFonts w:ascii="Calibri" w:eastAsia="Calibri" w:hAnsi="Calibri" w:cs="Times New Roman"/>
          <w:sz w:val="24"/>
          <w:szCs w:val="24"/>
          <w:lang w:val="en-US"/>
        </w:rPr>
        <w:t xml:space="preserve"> acquisition. The acquisition cycle consisted of 0.1 sec with the mobility scan range of 0.55 to 1.87 V*s/cm</w:t>
      </w:r>
      <w:r w:rsidRPr="007D184B">
        <w:rPr>
          <w:rFonts w:ascii="Calibri" w:eastAsia="Calibri" w:hAnsi="Calibri" w:cs="Times New Roman"/>
          <w:sz w:val="24"/>
          <w:szCs w:val="24"/>
          <w:vertAlign w:val="superscript"/>
          <w:lang w:val="en-US"/>
        </w:rPr>
        <w:t>2</w:t>
      </w:r>
      <w:r w:rsidRPr="007D184B">
        <w:rPr>
          <w:rFonts w:ascii="Calibri" w:eastAsia="Calibri" w:hAnsi="Calibri" w:cs="Times New Roman"/>
          <w:sz w:val="24"/>
          <w:szCs w:val="24"/>
          <w:lang w:val="en-US"/>
        </w:rPr>
        <w:t xml:space="preserve"> for the positive mode and 0.55 to 1.86 V*s/cm</w:t>
      </w:r>
      <w:r w:rsidRPr="007D184B">
        <w:rPr>
          <w:rFonts w:ascii="Calibri" w:eastAsia="Calibri" w:hAnsi="Calibri" w:cs="Times New Roman"/>
          <w:sz w:val="24"/>
          <w:szCs w:val="24"/>
          <w:vertAlign w:val="superscript"/>
          <w:lang w:val="en-US"/>
        </w:rPr>
        <w:t>2</w:t>
      </w:r>
      <w:r w:rsidRPr="007D184B">
        <w:rPr>
          <w:rFonts w:ascii="Calibri" w:eastAsia="Calibri" w:hAnsi="Calibri" w:cs="Times New Roman"/>
          <w:sz w:val="24"/>
          <w:szCs w:val="24"/>
          <w:lang w:val="en-US"/>
        </w:rPr>
        <w:t xml:space="preserve"> for the negative mode. The collision energy was set to 35eV in positive and 45eV in negative ion mode. Both the tims and mass calibration of the instrument was carried out on a weekly basis with the following peaks from the Agilent ESI LC/MS tuning mix [m/z, 1/K0: (322.0481, 0.7318 Vs cm−2), (622.0289, 0.9848 Vs cm−2), (922.0097, 1.1895 Vs cm−2), (1221,9906, 1.3820 Vs cm−2)] in the positive mode, and [m/z, 1/K0: (666.01879, 1.0371 Vs cm−2), (965.9996, 1.2255 Vs cm−2), (1265.9809, 1.3785 Vs cm−2)] in the negative mode. </w:t>
      </w:r>
      <w:bookmarkStart w:id="0" w:name="_Hlk87265307"/>
      <w:r w:rsidRPr="007D184B">
        <w:rPr>
          <w:rFonts w:ascii="Calibri" w:eastAsia="Calibri" w:hAnsi="Calibri" w:cs="Times New Roman"/>
          <w:sz w:val="24"/>
          <w:szCs w:val="24"/>
          <w:lang w:val="en-US"/>
        </w:rPr>
        <w:t xml:space="preserve">An online re-calibration of the data was performed immediately after each sample acquisition by injecting a mixture of Agilent ESI LC/MS tunemix and 1mM sodium formate (1:1) directly to the ESI source via a syringe pump. For this, the 20 min LC-MS runtime was divided into three segments with the first segment (0.0 to 0.05 min) exclusively used to acquire the spectral information of this mixture. The list of peaks from this mixture used for the recalibration can be </w:t>
      </w:r>
      <w:r w:rsidRPr="00640714">
        <w:rPr>
          <w:rFonts w:ascii="Calibri" w:eastAsia="Calibri" w:hAnsi="Calibri" w:cs="Times New Roman"/>
          <w:sz w:val="24"/>
          <w:szCs w:val="24"/>
          <w:lang w:val="en-US"/>
        </w:rPr>
        <w:t>found in Supplementary Data 6. Extensive</w:t>
      </w:r>
      <w:r w:rsidRPr="007D184B">
        <w:rPr>
          <w:rFonts w:ascii="Calibri" w:eastAsia="Calibri" w:hAnsi="Calibri" w:cs="Times New Roman"/>
          <w:sz w:val="24"/>
          <w:szCs w:val="24"/>
          <w:lang w:val="en-US"/>
        </w:rPr>
        <w:t xml:space="preserve"> formation of sodium adducts of lipids, particularly in positive ion mode was detected when higher concentrations of sodium formate calibrant were used for online recalibration. And thus, the concentration of sodium formate in the 1:1 mixture was reduced to 1mM from 10mM without compromising the performance.</w:t>
      </w:r>
    </w:p>
    <w:bookmarkEnd w:id="0"/>
    <w:p w14:paraId="6C18CE24" w14:textId="710D7073" w:rsidR="00452D27" w:rsidRPr="007D184B" w:rsidRDefault="007D184B" w:rsidP="007D184B">
      <w:pPr>
        <w:jc w:val="both"/>
        <w:rPr>
          <w:lang w:val="en-IN"/>
        </w:rPr>
      </w:pPr>
      <w:r w:rsidRPr="007D184B">
        <w:rPr>
          <w:rFonts w:ascii="Calibri" w:eastAsia="Calibri" w:hAnsi="Calibri" w:cs="Times New Roman"/>
          <w:b/>
          <w:bCs/>
          <w:i/>
          <w:iCs/>
          <w:sz w:val="24"/>
          <w:szCs w:val="24"/>
          <w:lang w:val="en-US"/>
        </w:rPr>
        <w:t>MRM</w:t>
      </w:r>
      <w:r w:rsidRPr="007D184B">
        <w:rPr>
          <w:rFonts w:ascii="Calibri" w:eastAsia="Calibri" w:hAnsi="Calibri" w:cs="Times New Roman"/>
          <w:sz w:val="24"/>
          <w:szCs w:val="24"/>
          <w:lang w:val="en-US"/>
        </w:rPr>
        <w:t>: For the inter-instrument cross-validation of the plasma quantification, targeted LC/MRM analyses were performed using a 5500 QTrap triple-quadrupole linear ion trap mass spectrometer equipped with a Turbo V Ion Source (AB SCIEX, Darmstadt, Germany) with polarity switching</w:t>
      </w:r>
      <w:r w:rsidR="00640714">
        <w:rPr>
          <w:rFonts w:ascii="Calibri" w:eastAsia="Calibri" w:hAnsi="Calibri" w:cs="Times New Roman"/>
          <w:sz w:val="24"/>
          <w:szCs w:val="24"/>
          <w:lang w:val="en-US"/>
        </w:rPr>
        <w:t xml:space="preserve"> as described previously in Lerner et al, 201</w:t>
      </w:r>
      <w:r w:rsidR="00513C9A">
        <w:rPr>
          <w:rFonts w:ascii="Calibri" w:eastAsia="Calibri" w:hAnsi="Calibri" w:cs="Times New Roman"/>
          <w:sz w:val="24"/>
          <w:szCs w:val="24"/>
          <w:lang w:val="en-US"/>
        </w:rPr>
        <w:t>6, 201</w:t>
      </w:r>
      <w:r w:rsidR="00640714">
        <w:rPr>
          <w:rFonts w:ascii="Calibri" w:eastAsia="Calibri" w:hAnsi="Calibri" w:cs="Times New Roman"/>
          <w:sz w:val="24"/>
          <w:szCs w:val="24"/>
          <w:lang w:val="en-US"/>
        </w:rPr>
        <w:t>8</w:t>
      </w:r>
      <w:r w:rsidRPr="007D184B">
        <w:rPr>
          <w:rFonts w:ascii="Calibri" w:eastAsia="Calibri" w:hAnsi="Calibri" w:cs="Times New Roman"/>
          <w:sz w:val="24"/>
          <w:szCs w:val="24"/>
          <w:lang w:val="en-US"/>
        </w:rPr>
        <w:t>.</w:t>
      </w:r>
    </w:p>
    <w:sectPr w:rsidR="00452D27" w:rsidRPr="007D184B">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90BAA"/>
    <w:rsid w:val="00265F19"/>
    <w:rsid w:val="00513C9A"/>
    <w:rsid w:val="00626155"/>
    <w:rsid w:val="00640714"/>
    <w:rsid w:val="007D184B"/>
    <w:rsid w:val="00A90BAA"/>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30C1B3"/>
  <w15:chartTrackingRefBased/>
  <w15:docId w15:val="{0DB0E822-4DF4-4A6C-A584-F10978D3DC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335</Words>
  <Characters>2116</Characters>
  <Application>Microsoft Office Word</Application>
  <DocSecurity>0</DocSecurity>
  <Lines>17</Lines>
  <Paragraphs>4</Paragraphs>
  <ScaleCrop>false</ScaleCrop>
  <Company/>
  <LinksUpToDate>false</LinksUpToDate>
  <CharactersWithSpaces>2447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Baker, Dhanwin</dc:creator>
  <cp:keywords/>
  <dc:description/>
  <cp:lastModifiedBy>Lerner, Raissa</cp:lastModifiedBy>
  <cp:revision>4</cp:revision>
  <dcterms:created xsi:type="dcterms:W3CDTF">2022-02-16T09:41:00Z</dcterms:created>
  <dcterms:modified xsi:type="dcterms:W3CDTF">2022-03-07T14:16:00Z</dcterms:modified>
</cp:coreProperties>
</file>