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48D" w:rsidRDefault="0041748D" w:rsidP="002607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 Data acquisition</w:t>
      </w:r>
      <w:bookmarkStart w:id="0" w:name="_GoBack"/>
      <w:bookmarkEnd w:id="0"/>
    </w:p>
    <w:p w:rsidR="00260712" w:rsidRPr="00914D2E" w:rsidRDefault="00260712" w:rsidP="002607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2E">
        <w:rPr>
          <w:rFonts w:ascii="Times New Roman" w:hAnsi="Times New Roman" w:cs="Times New Roman"/>
          <w:sz w:val="24"/>
          <w:szCs w:val="24"/>
        </w:rPr>
        <w:t xml:space="preserve">Data for untargeted metabolomics using all three chromatographic methods were acquired for mass ranges of 70-1000 m/z by full MS at 70,000 resolution in both positive and negative ionization modes. The automatic gain control (AGC) and maximum injection time (IT) were 5 x 105 and 100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4D2E">
        <w:rPr>
          <w:rFonts w:ascii="Times New Roman" w:hAnsi="Times New Roman" w:cs="Times New Roman"/>
          <w:sz w:val="24"/>
          <w:szCs w:val="24"/>
        </w:rPr>
        <w:t>respectively. The heated electrospray ionization (HESI) source was operated with sheath gas, 15 arbitrary units; auxiliary gas, 5 arbitrary units; capillary temperature, 250oC; auxiliary gas heater temperature, 50oC; and S-lens RF level, 50. The spray voltage was 4.2 and 3.9 kV in positive and negative modes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4D2E">
        <w:rPr>
          <w:rFonts w:ascii="Times New Roman" w:hAnsi="Times New Roman" w:cs="Times New Roman"/>
          <w:sz w:val="24"/>
          <w:szCs w:val="24"/>
        </w:rPr>
        <w:t>respectively. One sample in each group was also used for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914D2E">
        <w:rPr>
          <w:rFonts w:ascii="Times New Roman" w:hAnsi="Times New Roman" w:cs="Times New Roman"/>
          <w:sz w:val="24"/>
          <w:szCs w:val="24"/>
        </w:rPr>
        <w:t xml:space="preserve"> top 12 data-dependent acquisition experiment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14D2E">
        <w:rPr>
          <w:rFonts w:ascii="Times New Roman" w:hAnsi="Times New Roman" w:cs="Times New Roman"/>
          <w:sz w:val="24"/>
          <w:szCs w:val="24"/>
        </w:rPr>
        <w:t xml:space="preserve"> in both ionization modes to generate MS/MS datasets for compound identification. These experiments involved a full MS scan at 70,000 resolution, AGC target 5 x 105, maximum IT 100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and MS/MS scans at 17,500 resolution, AGC target 5 x 104, maximum IT 50, 2.0 m/z isolation window, stepped collision energy of 15, 25 and 35 eV, intensity threshold 1 x 104 and 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14D2E">
        <w:rPr>
          <w:rFonts w:ascii="Times New Roman" w:hAnsi="Times New Roman" w:cs="Times New Roman"/>
          <w:sz w:val="24"/>
          <w:szCs w:val="24"/>
        </w:rPr>
        <w:t>sec dynamic exclusion.</w:t>
      </w:r>
    </w:p>
    <w:sectPr w:rsidR="00260712" w:rsidRPr="00914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FB"/>
    <w:rsid w:val="00227DFB"/>
    <w:rsid w:val="00260712"/>
    <w:rsid w:val="0041748D"/>
    <w:rsid w:val="0057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22824"/>
  <w15:chartTrackingRefBased/>
  <w15:docId w15:val="{027100AD-8909-47A1-9A35-CA9B665C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71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Kambhampati, Shrikaar</dc:creator>
  <cp:keywords/>
  <dc:description/>
  <cp:lastModifiedBy>Kambhampati, Shrikaar</cp:lastModifiedBy>
  <cp:revision>2</cp:revision>
  <dcterms:created xsi:type="dcterms:W3CDTF">2022-01-18T01:52:00Z</dcterms:created>
  <dcterms:modified xsi:type="dcterms:W3CDTF">2022-01-18T01:52:00Z</dcterms:modified>
</cp:coreProperties>
</file>