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AF" w:rsidRDefault="00502C64" w:rsidP="00AE7339">
      <w:pPr>
        <w:pStyle w:val="Heading1"/>
      </w:pPr>
      <w:r>
        <w:t>Short chain fatty acid</w:t>
      </w:r>
      <w:r w:rsidR="00A04CC7">
        <w:t xml:space="preserve"> analysis</w:t>
      </w:r>
    </w:p>
    <w:p w:rsidR="00A04CC7" w:rsidRDefault="00A04CC7" w:rsidP="00A04CC7">
      <w:pPr>
        <w:pStyle w:val="Heading2"/>
      </w:pPr>
      <w:r>
        <w:t>Analysis summary</w:t>
      </w:r>
    </w:p>
    <w:p w:rsidR="00A04CC7" w:rsidRDefault="00147732" w:rsidP="00A04CC7">
      <w:pPr>
        <w:jc w:val="both"/>
      </w:pPr>
      <w:r>
        <w:t>The a</w:t>
      </w:r>
      <w:r w:rsidR="00A04CC7">
        <w:t>ssay is intended to generate the p</w:t>
      </w:r>
      <w:r w:rsidR="00A04CC7" w:rsidRPr="00A04CC7">
        <w:t xml:space="preserve">rofile of </w:t>
      </w:r>
      <w:r w:rsidR="00502C64">
        <w:t>short chain (C2-C7) fatty acids in several types of biological matrix</w:t>
      </w:r>
      <w:r w:rsidR="00A04CC7">
        <w:t>.</w:t>
      </w:r>
      <w:r w:rsidR="00A04CC7" w:rsidRPr="00A04CC7">
        <w:t xml:space="preserve"> </w:t>
      </w:r>
      <w:r w:rsidR="00A04CC7">
        <w:t xml:space="preserve">Analysis is performed by </w:t>
      </w:r>
      <w:r w:rsidR="00502C64">
        <w:t>gas</w:t>
      </w:r>
      <w:r w:rsidR="00A04CC7">
        <w:t xml:space="preserve"> chromatography – mass spectroscopy. Absolute quantitation (concentrations of analytes</w:t>
      </w:r>
      <w:r w:rsidR="00F421FC">
        <w:t xml:space="preserve"> in µ</w:t>
      </w:r>
      <w:r w:rsidR="00F421FC" w:rsidRPr="00A04CC7">
        <w:t>M</w:t>
      </w:r>
      <w:r w:rsidR="00A04CC7">
        <w:t>) is obtained using appropriate internal standards, data are</w:t>
      </w:r>
      <w:r w:rsidR="00A04CC7" w:rsidRPr="00A04CC7">
        <w:t xml:space="preserve"> normalized to </w:t>
      </w:r>
      <w:r w:rsidR="00A04CC7">
        <w:t>original sample</w:t>
      </w:r>
      <w:r w:rsidR="00A04CC7" w:rsidRPr="00A04CC7">
        <w:t xml:space="preserve"> weight</w:t>
      </w:r>
      <w:r w:rsidR="00F421FC">
        <w:t xml:space="preserve"> or volume</w:t>
      </w:r>
      <w:r w:rsidR="00A04CC7" w:rsidRPr="00A04CC7">
        <w:t xml:space="preserve">. </w:t>
      </w:r>
      <w:r w:rsidR="00A04CC7">
        <w:t>Assay coefficient of variation is usually within</w:t>
      </w:r>
      <w:r w:rsidR="00A04CC7" w:rsidRPr="00A04CC7">
        <w:t xml:space="preserve"> 1</w:t>
      </w:r>
      <w:r w:rsidR="003B4C41">
        <w:t>0</w:t>
      </w:r>
      <w:r w:rsidR="00A04CC7" w:rsidRPr="00A04CC7">
        <w:t>%.</w:t>
      </w:r>
    </w:p>
    <w:p w:rsidR="000013E2" w:rsidRDefault="000013E2" w:rsidP="000013E2">
      <w:pPr>
        <w:pStyle w:val="Heading2"/>
      </w:pPr>
      <w:r>
        <w:t>Preparation of isotopically labeled internal standards</w:t>
      </w:r>
      <w:r w:rsidR="005C4521">
        <w:t xml:space="preserve"> (IS)</w:t>
      </w:r>
    </w:p>
    <w:p w:rsidR="000013E2" w:rsidRDefault="000013E2" w:rsidP="00A04CC7">
      <w:pPr>
        <w:jc w:val="both"/>
      </w:pPr>
      <w:r>
        <w:t>The standards used are listed in table 1 below. The working solutio</w:t>
      </w:r>
      <w:r w:rsidR="00D82E5E">
        <w:t>n is prepared by mixing of 1470</w:t>
      </w:r>
      <w:r w:rsidR="00623628">
        <w:t>µL of water with</w:t>
      </w:r>
      <w:r w:rsidR="00D82E5E">
        <w:t xml:space="preserve"> </w:t>
      </w:r>
      <w:r>
        <w:t>15µL</w:t>
      </w:r>
      <w:r w:rsidR="00D82E5E">
        <w:t xml:space="preserve"> of 50</w:t>
      </w:r>
      <w:r>
        <w:t xml:space="preserve">mM </w:t>
      </w:r>
      <w:r w:rsidRPr="000013E2">
        <w:rPr>
          <w:bCs/>
        </w:rPr>
        <w:t>Hexanoic-d</w:t>
      </w:r>
      <w:r w:rsidRPr="000013E2">
        <w:rPr>
          <w:bCs/>
          <w:vertAlign w:val="subscript"/>
        </w:rPr>
        <w:t>11</w:t>
      </w:r>
      <w:r w:rsidRPr="000013E2">
        <w:rPr>
          <w:bCs/>
        </w:rPr>
        <w:t> acid</w:t>
      </w:r>
      <w:r>
        <w:rPr>
          <w:bCs/>
        </w:rPr>
        <w:t xml:space="preserve"> and </w:t>
      </w:r>
      <w:r>
        <w:t>15µL of 40</w:t>
      </w:r>
      <w:r w:rsidR="00D82E5E">
        <w:t>0</w:t>
      </w:r>
      <w:r>
        <w:t xml:space="preserve">mM </w:t>
      </w:r>
      <w:r w:rsidRPr="000013E2">
        <w:rPr>
          <w:bCs/>
        </w:rPr>
        <w:t>Butyric-d</w:t>
      </w:r>
      <w:r w:rsidRPr="000013E2">
        <w:rPr>
          <w:bCs/>
          <w:vertAlign w:val="subscript"/>
        </w:rPr>
        <w:t>7</w:t>
      </w:r>
      <w:r w:rsidRPr="000013E2">
        <w:rPr>
          <w:bCs/>
        </w:rPr>
        <w:t> acid</w:t>
      </w:r>
      <w:r>
        <w:rPr>
          <w:b/>
          <w:bCs/>
        </w:rPr>
        <w:t>.</w:t>
      </w:r>
    </w:p>
    <w:p w:rsidR="000013E2" w:rsidRDefault="000013E2" w:rsidP="000013E2">
      <w:pPr>
        <w:pStyle w:val="Caption"/>
        <w:keepNext/>
      </w:pPr>
      <w:r>
        <w:t xml:space="preserve">Table </w:t>
      </w:r>
      <w:fldSimple w:instr=" SEQ Table \* ARABIC ">
        <w:r w:rsidR="000C6993">
          <w:rPr>
            <w:noProof/>
          </w:rPr>
          <w:t>1</w:t>
        </w:r>
      </w:fldSimple>
      <w:r>
        <w:t>. SCFA</w:t>
      </w:r>
      <w:r w:rsidRPr="00F1592F">
        <w:t xml:space="preserve"> isotope-labeled internal standards solution stock (IS)</w:t>
      </w:r>
    </w:p>
    <w:tbl>
      <w:tblPr>
        <w:tblStyle w:val="GridTable4-Accent1"/>
        <w:tblpPr w:leftFromText="180" w:rightFromText="180" w:vertAnchor="text" w:horzAnchor="margin" w:tblpY="-52"/>
        <w:tblW w:w="9576" w:type="dxa"/>
        <w:tblLayout w:type="fixed"/>
        <w:tblLook w:val="04A0" w:firstRow="1" w:lastRow="0" w:firstColumn="1" w:lastColumn="0" w:noHBand="0" w:noVBand="1"/>
      </w:tblPr>
      <w:tblGrid>
        <w:gridCol w:w="4159"/>
        <w:gridCol w:w="2917"/>
        <w:gridCol w:w="2500"/>
      </w:tblGrid>
      <w:tr w:rsidR="00502C64" w:rsidRPr="0030010F" w:rsidTr="0000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502C64" w:rsidRPr="0030010F" w:rsidRDefault="00502C64" w:rsidP="00806048">
            <w:r w:rsidRPr="0030010F">
              <w:t>Compound</w:t>
            </w:r>
          </w:p>
        </w:tc>
        <w:tc>
          <w:tcPr>
            <w:tcW w:w="2917" w:type="dxa"/>
          </w:tcPr>
          <w:p w:rsidR="00502C64" w:rsidRPr="0030010F" w:rsidRDefault="00502C64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Supplier</w:t>
            </w:r>
          </w:p>
        </w:tc>
        <w:tc>
          <w:tcPr>
            <w:tcW w:w="2500" w:type="dxa"/>
          </w:tcPr>
          <w:p w:rsidR="00502C64" w:rsidRPr="0030010F" w:rsidRDefault="00502C64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Catalog #</w:t>
            </w:r>
            <w:r w:rsidRPr="0030010F">
              <w:t xml:space="preserve"> </w:t>
            </w:r>
          </w:p>
        </w:tc>
      </w:tr>
      <w:tr w:rsidR="00502C64" w:rsidRPr="00243E8F" w:rsidTr="0000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bottom"/>
          </w:tcPr>
          <w:p w:rsidR="00502C64" w:rsidRPr="000013E2" w:rsidRDefault="000013E2" w:rsidP="00806048">
            <w:pPr>
              <w:rPr>
                <w:b w:val="0"/>
              </w:rPr>
            </w:pPr>
            <w:r w:rsidRPr="000013E2">
              <w:rPr>
                <w:b w:val="0"/>
              </w:rPr>
              <w:t>Hexanoic-d</w:t>
            </w:r>
            <w:r w:rsidRPr="000013E2">
              <w:rPr>
                <w:b w:val="0"/>
                <w:vertAlign w:val="subscript"/>
              </w:rPr>
              <w:t>11</w:t>
            </w:r>
            <w:r w:rsidRPr="000013E2">
              <w:rPr>
                <w:b w:val="0"/>
              </w:rPr>
              <w:t> acid</w:t>
            </w:r>
          </w:p>
        </w:tc>
        <w:tc>
          <w:tcPr>
            <w:tcW w:w="2917" w:type="dxa"/>
            <w:vAlign w:val="bottom"/>
          </w:tcPr>
          <w:p w:rsidR="00502C64" w:rsidRPr="00243E8F" w:rsidRDefault="000013E2" w:rsidP="0080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cs="Arial"/>
              </w:rPr>
              <w:t>Aldrich(</w:t>
            </w:r>
            <w:proofErr w:type="gramEnd"/>
            <w:r>
              <w:rPr>
                <w:rFonts w:cs="Arial"/>
              </w:rPr>
              <w:t>?)</w:t>
            </w:r>
          </w:p>
        </w:tc>
        <w:tc>
          <w:tcPr>
            <w:tcW w:w="2500" w:type="dxa"/>
            <w:vAlign w:val="bottom"/>
          </w:tcPr>
          <w:p w:rsidR="00502C64" w:rsidRPr="00243E8F" w:rsidRDefault="000013E2" w:rsidP="0080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3E2">
              <w:t>448168</w:t>
            </w:r>
          </w:p>
        </w:tc>
      </w:tr>
      <w:tr w:rsidR="00502C64" w:rsidRPr="00243E8F" w:rsidTr="00001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vAlign w:val="bottom"/>
          </w:tcPr>
          <w:p w:rsidR="00502C64" w:rsidRPr="000013E2" w:rsidRDefault="00502C64" w:rsidP="00806048">
            <w:pPr>
              <w:rPr>
                <w:b w:val="0"/>
              </w:rPr>
            </w:pPr>
            <w:r w:rsidRPr="000013E2">
              <w:rPr>
                <w:b w:val="0"/>
              </w:rPr>
              <w:t>Butyric-d</w:t>
            </w:r>
            <w:r w:rsidRPr="000013E2">
              <w:rPr>
                <w:b w:val="0"/>
                <w:vertAlign w:val="subscript"/>
              </w:rPr>
              <w:t>7</w:t>
            </w:r>
            <w:r w:rsidRPr="000013E2">
              <w:rPr>
                <w:b w:val="0"/>
              </w:rPr>
              <w:t> acid</w:t>
            </w:r>
          </w:p>
        </w:tc>
        <w:tc>
          <w:tcPr>
            <w:tcW w:w="2917" w:type="dxa"/>
            <w:vAlign w:val="bottom"/>
          </w:tcPr>
          <w:p w:rsidR="00502C64" w:rsidRPr="00243E8F" w:rsidRDefault="000013E2" w:rsidP="0080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cs="Arial"/>
              </w:rPr>
              <w:t>Aldrich(</w:t>
            </w:r>
            <w:proofErr w:type="gramEnd"/>
            <w:r>
              <w:rPr>
                <w:rFonts w:cs="Arial"/>
              </w:rPr>
              <w:t>?)</w:t>
            </w:r>
          </w:p>
        </w:tc>
        <w:tc>
          <w:tcPr>
            <w:tcW w:w="2500" w:type="dxa"/>
            <w:vAlign w:val="bottom"/>
          </w:tcPr>
          <w:p w:rsidR="00502C64" w:rsidRPr="00243E8F" w:rsidRDefault="000013E2" w:rsidP="0080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3E2">
              <w:t>488399</w:t>
            </w:r>
          </w:p>
        </w:tc>
      </w:tr>
    </w:tbl>
    <w:p w:rsidR="00502C64" w:rsidRDefault="00502C64" w:rsidP="00A04CC7">
      <w:pPr>
        <w:jc w:val="both"/>
      </w:pPr>
    </w:p>
    <w:p w:rsidR="000013E2" w:rsidRDefault="000013E2" w:rsidP="003E0DAB">
      <w:pPr>
        <w:pStyle w:val="Heading2"/>
      </w:pPr>
      <w:r>
        <w:t>Preparation of unlabeled standard mixture</w:t>
      </w:r>
      <w:r w:rsidR="005C4521">
        <w:t xml:space="preserve"> (STD mix)</w:t>
      </w:r>
    </w:p>
    <w:p w:rsidR="003E0DAB" w:rsidRDefault="005C4521" w:rsidP="00A04CC7">
      <w:pPr>
        <w:jc w:val="both"/>
      </w:pPr>
      <w:r>
        <w:t>Mixture of authentic standards (STD mix) is prepared by adding stock solutions specified in table 2 below to 700</w:t>
      </w:r>
      <w:r w:rsidRPr="004851CB">
        <w:rPr>
          <w:rFonts w:ascii="Calibri" w:eastAsia="Times New Roman" w:hAnsi="Calibri" w:cs="Times New Roman"/>
          <w:color w:val="000000"/>
        </w:rPr>
        <w:t>µL</w:t>
      </w:r>
      <w:r>
        <w:rPr>
          <w:rFonts w:ascii="Calibri" w:eastAsia="Times New Roman" w:hAnsi="Calibri" w:cs="Times New Roman"/>
          <w:color w:val="000000"/>
        </w:rPr>
        <w:t xml:space="preserve"> of water (LCMS-grade or </w:t>
      </w:r>
      <w:proofErr w:type="spellStart"/>
      <w:r>
        <w:rPr>
          <w:rFonts w:ascii="Calibri" w:eastAsia="Times New Roman" w:hAnsi="Calibri" w:cs="Times New Roman"/>
          <w:color w:val="000000"/>
        </w:rPr>
        <w:t>Milli</w:t>
      </w:r>
      <w:proofErr w:type="spellEnd"/>
      <w:r>
        <w:rPr>
          <w:rFonts w:ascii="Calibri" w:eastAsia="Times New Roman" w:hAnsi="Calibri" w:cs="Times New Roman"/>
          <w:color w:val="000000"/>
        </w:rPr>
        <w:t>-Q) to yield 1ml of working solution.</w:t>
      </w:r>
      <w:r>
        <w:t xml:space="preserve"> </w:t>
      </w:r>
    </w:p>
    <w:p w:rsidR="005C4521" w:rsidRDefault="005C4521" w:rsidP="005C4521">
      <w:pPr>
        <w:pStyle w:val="Caption"/>
        <w:keepNext/>
      </w:pPr>
      <w:r>
        <w:t xml:space="preserve">Table </w:t>
      </w:r>
      <w:fldSimple w:instr=" SEQ Table \* ARABIC ">
        <w:r w:rsidR="000C6993">
          <w:rPr>
            <w:noProof/>
          </w:rPr>
          <w:t>2</w:t>
        </w:r>
      </w:fldSimple>
      <w:r>
        <w:t xml:space="preserve">. SCFA </w:t>
      </w:r>
      <w:r w:rsidRPr="004F340A">
        <w:t>internal standards solution stock (STD mix)</w:t>
      </w:r>
    </w:p>
    <w:tbl>
      <w:tblPr>
        <w:tblStyle w:val="GridTable4-Accent1"/>
        <w:tblW w:w="6565" w:type="dxa"/>
        <w:tblLayout w:type="fixed"/>
        <w:tblLook w:val="04A0" w:firstRow="1" w:lastRow="0" w:firstColumn="1" w:lastColumn="0" w:noHBand="0" w:noVBand="1"/>
      </w:tblPr>
      <w:tblGrid>
        <w:gridCol w:w="3055"/>
        <w:gridCol w:w="2250"/>
        <w:gridCol w:w="1260"/>
      </w:tblGrid>
      <w:tr w:rsidR="004851CB" w:rsidRPr="0030010F" w:rsidTr="004A3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851CB" w:rsidRPr="0030010F" w:rsidRDefault="004851CB" w:rsidP="00806048">
            <w:r w:rsidRPr="0030010F">
              <w:t>Compound</w:t>
            </w:r>
          </w:p>
        </w:tc>
        <w:tc>
          <w:tcPr>
            <w:tcW w:w="2250" w:type="dxa"/>
          </w:tcPr>
          <w:p w:rsidR="004851CB" w:rsidRPr="0030010F" w:rsidRDefault="004851CB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Stock concentration</w:t>
            </w:r>
          </w:p>
        </w:tc>
        <w:tc>
          <w:tcPr>
            <w:tcW w:w="1260" w:type="dxa"/>
          </w:tcPr>
          <w:p w:rsidR="004851CB" w:rsidRPr="0030010F" w:rsidRDefault="004851CB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</w:t>
            </w:r>
            <w:r w:rsidRPr="0030010F">
              <w:t xml:space="preserve"> </w:t>
            </w:r>
          </w:p>
        </w:tc>
      </w:tr>
      <w:tr w:rsidR="004A382E" w:rsidRPr="004851CB" w:rsidTr="004A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acetic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400mM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851CB" w:rsidRPr="004851CB" w:rsidTr="004A38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propionic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400mM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A382E" w:rsidRPr="004851CB" w:rsidTr="004A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n-butyric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400mM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851CB" w:rsidRPr="004851CB" w:rsidTr="004A38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iso</w:t>
            </w:r>
            <w:proofErr w:type="spellEnd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-butyric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50mM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A382E" w:rsidRPr="004851CB" w:rsidTr="004A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n-</w:t>
            </w:r>
            <w:proofErr w:type="spellStart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valeric</w:t>
            </w:r>
            <w:proofErr w:type="spellEnd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200mM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851CB" w:rsidRPr="004851CB" w:rsidTr="004A38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i</w:t>
            </w:r>
            <w:r w:rsidR="005C4521">
              <w:rPr>
                <w:rFonts w:ascii="Calibri" w:eastAsia="Times New Roman" w:hAnsi="Calibri" w:cs="Times New Roman"/>
                <w:b w:val="0"/>
                <w:color w:val="000000"/>
              </w:rPr>
              <w:t>so</w:t>
            </w: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-valeric</w:t>
            </w:r>
            <w:proofErr w:type="spellEnd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200mM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A382E" w:rsidRPr="004851CB" w:rsidTr="004A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n-</w:t>
            </w:r>
            <w:proofErr w:type="spellStart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caproic</w:t>
            </w:r>
            <w:proofErr w:type="spellEnd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50mM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  <w:tr w:rsidR="004851CB" w:rsidRPr="004851CB" w:rsidTr="004A38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4851CB" w:rsidRPr="004851CB" w:rsidRDefault="004851CB" w:rsidP="004851C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n-</w:t>
            </w:r>
            <w:proofErr w:type="spellStart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>heptanoic</w:t>
            </w:r>
            <w:proofErr w:type="spellEnd"/>
            <w:r w:rsidRPr="004851CB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acid</w:t>
            </w:r>
          </w:p>
        </w:tc>
        <w:tc>
          <w:tcPr>
            <w:tcW w:w="225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15mM</w:t>
            </w:r>
          </w:p>
        </w:tc>
        <w:tc>
          <w:tcPr>
            <w:tcW w:w="1260" w:type="dxa"/>
            <w:noWrap/>
            <w:hideMark/>
          </w:tcPr>
          <w:p w:rsidR="004851CB" w:rsidRPr="004851CB" w:rsidRDefault="004851CB" w:rsidP="0048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851CB">
              <w:rPr>
                <w:rFonts w:ascii="Calibri" w:eastAsia="Times New Roman" w:hAnsi="Calibri" w:cs="Times New Roman"/>
                <w:color w:val="000000"/>
              </w:rPr>
              <w:t>37.5µL</w:t>
            </w:r>
          </w:p>
        </w:tc>
      </w:tr>
    </w:tbl>
    <w:p w:rsidR="000013E2" w:rsidRDefault="000013E2" w:rsidP="00A04CC7">
      <w:pPr>
        <w:jc w:val="both"/>
      </w:pPr>
    </w:p>
    <w:p w:rsidR="000C6993" w:rsidRDefault="000C699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0C6993" w:rsidRDefault="000C6993" w:rsidP="000C6993">
      <w:pPr>
        <w:pStyle w:val="Heading2"/>
      </w:pPr>
      <w:r>
        <w:lastRenderedPageBreak/>
        <w:t>Preparation of calibration standards</w:t>
      </w:r>
    </w:p>
    <w:p w:rsidR="000C6993" w:rsidRDefault="000C6993" w:rsidP="000C6993">
      <w:pPr>
        <w:jc w:val="both"/>
      </w:pPr>
      <w:r>
        <w:t xml:space="preserve">Calibration standards are prepared </w:t>
      </w:r>
      <w:r w:rsidR="00DF70C5">
        <w:t xml:space="preserve">in glass auto-sampler vials </w:t>
      </w:r>
      <w:r>
        <w:t>according to table 3 below</w:t>
      </w:r>
      <w:r w:rsidR="00DF70C5">
        <w:t>.</w:t>
      </w:r>
    </w:p>
    <w:p w:rsidR="000C6993" w:rsidRDefault="000C6993" w:rsidP="000C699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 SCFA</w:t>
      </w:r>
      <w:r w:rsidRPr="00FD6B19">
        <w:t xml:space="preserve"> internal standards calibration curve</w:t>
      </w:r>
      <w:r w:rsidR="00F01920">
        <w:t>*</w:t>
      </w:r>
    </w:p>
    <w:tbl>
      <w:tblPr>
        <w:tblStyle w:val="GridTable4-Accent1"/>
        <w:tblW w:w="9085" w:type="dxa"/>
        <w:tblLook w:val="04A0" w:firstRow="1" w:lastRow="0" w:firstColumn="1" w:lastColumn="0" w:noHBand="0" w:noVBand="1"/>
      </w:tblPr>
      <w:tblGrid>
        <w:gridCol w:w="1165"/>
        <w:gridCol w:w="2340"/>
        <w:gridCol w:w="1440"/>
        <w:gridCol w:w="1420"/>
        <w:gridCol w:w="1327"/>
        <w:gridCol w:w="1393"/>
      </w:tblGrid>
      <w:tr w:rsidR="00CE1B6B" w:rsidRPr="00A60018" w:rsidTr="00CE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Pr="00A60018" w:rsidRDefault="00CE1B6B" w:rsidP="00806048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Standard</w:t>
            </w:r>
          </w:p>
        </w:tc>
        <w:tc>
          <w:tcPr>
            <w:tcW w:w="2340" w:type="dxa"/>
          </w:tcPr>
          <w:p w:rsidR="00CE1B6B" w:rsidRPr="00A60018" w:rsidRDefault="00CE1B6B" w:rsidP="008060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Concentration, µM</w:t>
            </w:r>
          </w:p>
        </w:tc>
        <w:tc>
          <w:tcPr>
            <w:tcW w:w="1440" w:type="dxa"/>
          </w:tcPr>
          <w:p w:rsidR="00CE1B6B" w:rsidRPr="00A60018" w:rsidRDefault="00CE1B6B" w:rsidP="00CE1B6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STD mix (</w:t>
            </w:r>
            <w:r>
              <w:rPr>
                <w:b w:val="0"/>
              </w:rPr>
              <w:t>µL</w:t>
            </w:r>
            <w:r>
              <w:t>)</w:t>
            </w:r>
          </w:p>
        </w:tc>
        <w:tc>
          <w:tcPr>
            <w:tcW w:w="1420" w:type="dxa"/>
          </w:tcPr>
          <w:p w:rsidR="00CE1B6B" w:rsidRPr="00A60018" w:rsidRDefault="00CE1B6B" w:rsidP="00CE1B6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IS (</w:t>
            </w:r>
            <w:r>
              <w:rPr>
                <w:b w:val="0"/>
              </w:rPr>
              <w:t>µL</w:t>
            </w:r>
            <w:r>
              <w:t>)</w:t>
            </w:r>
          </w:p>
        </w:tc>
        <w:tc>
          <w:tcPr>
            <w:tcW w:w="1327" w:type="dxa"/>
          </w:tcPr>
          <w:p w:rsidR="00CE1B6B" w:rsidRPr="00A60018" w:rsidRDefault="00CE1B6B" w:rsidP="008060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</w:t>
            </w:r>
            <w:r>
              <w:t>ater</w:t>
            </w:r>
            <w:r>
              <w:rPr>
                <w:b w:val="0"/>
              </w:rPr>
              <w:t xml:space="preserve"> (µL)</w:t>
            </w:r>
          </w:p>
        </w:tc>
        <w:tc>
          <w:tcPr>
            <w:tcW w:w="1393" w:type="dxa"/>
          </w:tcPr>
          <w:p w:rsidR="00CE1B6B" w:rsidRPr="00A60018" w:rsidRDefault="00CE1B6B" w:rsidP="008060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1M </w:t>
            </w:r>
            <w:proofErr w:type="spellStart"/>
            <w:r>
              <w:t>HCl</w:t>
            </w:r>
            <w:proofErr w:type="spellEnd"/>
            <w:r>
              <w:t xml:space="preserve"> (</w:t>
            </w:r>
            <w:r>
              <w:rPr>
                <w:b w:val="0"/>
              </w:rPr>
              <w:t>µL</w:t>
            </w:r>
            <w:r>
              <w:t>)</w:t>
            </w:r>
          </w:p>
        </w:tc>
      </w:tr>
      <w:tr w:rsidR="00CE1B6B" w:rsidTr="00CE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Pr="00CE1B6B" w:rsidRDefault="00CE1B6B" w:rsidP="00806048">
            <w:pPr>
              <w:pStyle w:val="ListParagraph"/>
              <w:ind w:left="0"/>
              <w:rPr>
                <w:b w:val="0"/>
              </w:rPr>
            </w:pPr>
            <w:r w:rsidRPr="00CE1B6B">
              <w:rPr>
                <w:b w:val="0"/>
              </w:rPr>
              <w:t>STD 0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40" w:type="dxa"/>
          </w:tcPr>
          <w:p w:rsidR="00CE1B6B" w:rsidRDefault="00CE1B6B" w:rsidP="00CE1B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20" w:type="dxa"/>
          </w:tcPr>
          <w:p w:rsidR="00CE1B6B" w:rsidRDefault="00CE1B6B" w:rsidP="00CE1B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CE1B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1393" w:type="dxa"/>
          </w:tcPr>
          <w:p w:rsidR="00CE1B6B" w:rsidRDefault="00CE1B6B" w:rsidP="00CE1B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CE1B6B" w:rsidTr="00CE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Default="00CE1B6B" w:rsidP="00CE1B6B">
            <w:pPr>
              <w:pStyle w:val="ListParagraph"/>
              <w:ind w:left="0"/>
            </w:pPr>
            <w:r w:rsidRPr="00CE1B6B">
              <w:rPr>
                <w:b w:val="0"/>
              </w:rPr>
              <w:t xml:space="preserve">STD </w:t>
            </w:r>
            <w:r>
              <w:rPr>
                <w:b w:val="0"/>
              </w:rPr>
              <w:t>1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14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2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1393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CE1B6B" w:rsidTr="00CE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Default="00CE1B6B" w:rsidP="00CE1B6B">
            <w:pPr>
              <w:pStyle w:val="ListParagraph"/>
              <w:ind w:left="0"/>
            </w:pPr>
            <w:r w:rsidRPr="00CE1B6B">
              <w:rPr>
                <w:b w:val="0"/>
              </w:rPr>
              <w:t xml:space="preserve">STD </w:t>
            </w:r>
            <w:r>
              <w:rPr>
                <w:b w:val="0"/>
              </w:rPr>
              <w:t>2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</w:t>
            </w:r>
          </w:p>
        </w:tc>
        <w:tc>
          <w:tcPr>
            <w:tcW w:w="144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2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1393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CE1B6B" w:rsidTr="00CE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Default="00CE1B6B" w:rsidP="00CE1B6B">
            <w:pPr>
              <w:pStyle w:val="ListParagraph"/>
              <w:ind w:left="0"/>
            </w:pPr>
            <w:r w:rsidRPr="00CE1B6B">
              <w:rPr>
                <w:b w:val="0"/>
              </w:rPr>
              <w:t xml:space="preserve">STD </w:t>
            </w:r>
            <w:r>
              <w:rPr>
                <w:b w:val="0"/>
              </w:rPr>
              <w:t>3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2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1393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CE1B6B" w:rsidTr="00CE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Default="00CE1B6B" w:rsidP="00CE1B6B">
            <w:pPr>
              <w:pStyle w:val="ListParagraph"/>
              <w:ind w:left="0"/>
            </w:pPr>
            <w:r w:rsidRPr="00CE1B6B">
              <w:rPr>
                <w:b w:val="0"/>
              </w:rPr>
              <w:t xml:space="preserve">STD </w:t>
            </w:r>
            <w:r>
              <w:rPr>
                <w:b w:val="0"/>
              </w:rPr>
              <w:t>4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420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</w:t>
            </w:r>
          </w:p>
        </w:tc>
        <w:tc>
          <w:tcPr>
            <w:tcW w:w="1393" w:type="dxa"/>
          </w:tcPr>
          <w:p w:rsidR="00CE1B6B" w:rsidRDefault="00CE1B6B" w:rsidP="008060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CE1B6B" w:rsidTr="00CE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E1B6B" w:rsidRDefault="00CE1B6B" w:rsidP="00CE1B6B">
            <w:pPr>
              <w:pStyle w:val="ListParagraph"/>
              <w:ind w:left="0"/>
            </w:pPr>
            <w:r w:rsidRPr="00CE1B6B">
              <w:rPr>
                <w:b w:val="0"/>
              </w:rPr>
              <w:t xml:space="preserve">STD </w:t>
            </w:r>
            <w:r>
              <w:rPr>
                <w:b w:val="0"/>
              </w:rPr>
              <w:t>5</w:t>
            </w:r>
          </w:p>
        </w:tc>
        <w:tc>
          <w:tcPr>
            <w:tcW w:w="23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4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420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18.75</w:t>
            </w:r>
          </w:p>
        </w:tc>
        <w:tc>
          <w:tcPr>
            <w:tcW w:w="1327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393" w:type="dxa"/>
          </w:tcPr>
          <w:p w:rsidR="00CE1B6B" w:rsidRDefault="00CE1B6B" w:rsidP="00806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</w:tbl>
    <w:p w:rsidR="00CE1B6B" w:rsidRPr="00A04CC7" w:rsidRDefault="00F01920" w:rsidP="00A04CC7">
      <w:pPr>
        <w:jc w:val="both"/>
      </w:pPr>
      <w:r>
        <w:t>*The concentrations of standards may vary from experiment to experiment depending on the nature of the samples and range of concentrations that has to be covered by the assay.</w:t>
      </w:r>
    </w:p>
    <w:p w:rsidR="000D694D" w:rsidRDefault="007C2C13" w:rsidP="00AE7339">
      <w:pPr>
        <w:pStyle w:val="Heading2"/>
      </w:pPr>
      <w:r>
        <w:t>Analyte e</w:t>
      </w:r>
      <w:r w:rsidR="000D694D">
        <w:t>xtraction and sample preparation</w:t>
      </w:r>
    </w:p>
    <w:p w:rsidR="003B4C41" w:rsidRDefault="00F735DA" w:rsidP="003B4C41">
      <w:pPr>
        <w:pStyle w:val="Heading3"/>
      </w:pPr>
      <w:r>
        <w:t>Fecal matter</w:t>
      </w:r>
      <w:r w:rsidR="003B4C41">
        <w:t xml:space="preserve"> extraction</w:t>
      </w:r>
    </w:p>
    <w:p w:rsidR="00F735DA" w:rsidRDefault="00F735DA" w:rsidP="00F735DA">
      <w:pPr>
        <w:pStyle w:val="ListParagraph"/>
        <w:numPr>
          <w:ilvl w:val="0"/>
          <w:numId w:val="15"/>
        </w:numPr>
      </w:pPr>
      <w:r>
        <w:t>Extraction solvent</w:t>
      </w:r>
    </w:p>
    <w:p w:rsidR="00F735DA" w:rsidRDefault="00F735DA" w:rsidP="00F735DA">
      <w:pPr>
        <w:pStyle w:val="ListParagraph"/>
        <w:numPr>
          <w:ilvl w:val="1"/>
          <w:numId w:val="15"/>
        </w:numPr>
      </w:pPr>
      <w:r>
        <w:t xml:space="preserve">6.25% v/v </w:t>
      </w:r>
      <w:r w:rsidRPr="00F735DA">
        <w:t>isotopically labeled internal standards</w:t>
      </w:r>
      <w:r>
        <w:t xml:space="preserve"> (IS) stock</w:t>
      </w:r>
    </w:p>
    <w:p w:rsidR="00F735DA" w:rsidRDefault="00F735DA" w:rsidP="00F735DA">
      <w:pPr>
        <w:pStyle w:val="ListParagraph"/>
        <w:numPr>
          <w:ilvl w:val="1"/>
          <w:numId w:val="15"/>
        </w:numPr>
      </w:pPr>
      <w:r>
        <w:t xml:space="preserve">3% v/v 1M </w:t>
      </w:r>
      <w:proofErr w:type="spellStart"/>
      <w:r>
        <w:t>HCl</w:t>
      </w:r>
      <w:proofErr w:type="spellEnd"/>
    </w:p>
    <w:p w:rsidR="00F735DA" w:rsidRDefault="00F735DA" w:rsidP="00F735DA">
      <w:pPr>
        <w:pStyle w:val="ListParagraph"/>
        <w:numPr>
          <w:ilvl w:val="1"/>
          <w:numId w:val="15"/>
        </w:numPr>
        <w:spacing w:line="360" w:lineRule="auto"/>
      </w:pPr>
      <w:r>
        <w:t>90.75% v/v water</w:t>
      </w:r>
    </w:p>
    <w:p w:rsidR="00F735DA" w:rsidRDefault="00F735DA" w:rsidP="00F735DA">
      <w:pPr>
        <w:pStyle w:val="ListParagraph"/>
        <w:numPr>
          <w:ilvl w:val="0"/>
          <w:numId w:val="15"/>
        </w:numPr>
      </w:pPr>
      <w:r>
        <w:t>Remove the samples from -80°C and place them on ice for the whole duration of the extraction procedure.</w:t>
      </w:r>
    </w:p>
    <w:p w:rsidR="00F735DA" w:rsidRDefault="00F735DA" w:rsidP="00F735DA">
      <w:pPr>
        <w:pStyle w:val="ListParagraph"/>
        <w:numPr>
          <w:ilvl w:val="0"/>
          <w:numId w:val="15"/>
        </w:numPr>
      </w:pPr>
      <w:r>
        <w:t>Add 1 scoop of 0.5</w:t>
      </w:r>
      <w:r w:rsidR="001535D1">
        <w:t>mm</w:t>
      </w:r>
      <w:r>
        <w:t xml:space="preserve"> and 1mm zirconium beads to each </w:t>
      </w:r>
      <w:r w:rsidR="001535D1">
        <w:t>pre-labeled 1.5</w:t>
      </w:r>
      <w:r>
        <w:t>mL “safe lock” micro-centrifuge tube or Rhino tube</w:t>
      </w:r>
      <w:r w:rsidR="001535D1">
        <w:t>, w</w:t>
      </w:r>
      <w:r>
        <w:t>eigh the tubes with beads and record the weights.</w:t>
      </w:r>
      <w:r w:rsidR="00436F3B">
        <w:t xml:space="preserve"> </w:t>
      </w:r>
    </w:p>
    <w:p w:rsidR="00075F79" w:rsidRDefault="00075F79" w:rsidP="00F735DA">
      <w:pPr>
        <w:pStyle w:val="ListParagraph"/>
        <w:numPr>
          <w:ilvl w:val="0"/>
          <w:numId w:val="15"/>
        </w:numPr>
      </w:pPr>
      <w:r>
        <w:t>Add the sample (</w:t>
      </w:r>
      <w:r w:rsidR="001535D1">
        <w:t>~50 - 100</w:t>
      </w:r>
      <w:r>
        <w:t>mg) and re-weight test tubes to determine the exact amount of biological material.</w:t>
      </w:r>
    </w:p>
    <w:p w:rsidR="00F735DA" w:rsidRDefault="00075F79" w:rsidP="00075F79">
      <w:pPr>
        <w:pStyle w:val="ListParagraph"/>
        <w:numPr>
          <w:ilvl w:val="0"/>
          <w:numId w:val="15"/>
        </w:numPr>
      </w:pPr>
      <w:r>
        <w:t xml:space="preserve">Add </w:t>
      </w:r>
      <w:r w:rsidR="00F735DA">
        <w:t>600µL of cold extraction solvent</w:t>
      </w:r>
      <w:r>
        <w:t xml:space="preserve"> and h</w:t>
      </w:r>
      <w:r w:rsidR="00F735DA">
        <w:t>omogen</w:t>
      </w:r>
      <w:r>
        <w:t>ize in a bead-beater at -20°C, power</w:t>
      </w:r>
      <w:r w:rsidR="001535D1">
        <w:t xml:space="preserve"> level 8 for 3min; alternatively homogenization may be performed by sonication without using the beads.</w:t>
      </w:r>
    </w:p>
    <w:p w:rsidR="00F735DA" w:rsidRDefault="00F735DA" w:rsidP="00F735DA">
      <w:pPr>
        <w:pStyle w:val="ListParagraph"/>
        <w:numPr>
          <w:ilvl w:val="0"/>
          <w:numId w:val="15"/>
        </w:numPr>
      </w:pPr>
      <w:r>
        <w:t>Vortex samples</w:t>
      </w:r>
      <w:r w:rsidR="001535D1">
        <w:t xml:space="preserve"> for 10</w:t>
      </w:r>
      <w:r>
        <w:t>sec</w:t>
      </w:r>
      <w:r w:rsidR="00075F79">
        <w:t>, keep on ice or at -20</w:t>
      </w:r>
      <w:r w:rsidR="00075F79" w:rsidRPr="00075F79">
        <w:rPr>
          <w:vertAlign w:val="superscript"/>
        </w:rPr>
        <w:t>o</w:t>
      </w:r>
      <w:r w:rsidR="00075F79">
        <w:t>C</w:t>
      </w:r>
      <w:r>
        <w:t xml:space="preserve"> </w:t>
      </w:r>
      <w:r w:rsidR="001535D1">
        <w:t>for 10</w:t>
      </w:r>
      <w:r w:rsidR="00075F79">
        <w:t xml:space="preserve">min, </w:t>
      </w:r>
      <w:r>
        <w:t>vortex</w:t>
      </w:r>
      <w:r w:rsidR="00075F79">
        <w:t xml:space="preserve"> again</w:t>
      </w:r>
      <w:r>
        <w:t xml:space="preserve">. </w:t>
      </w:r>
    </w:p>
    <w:p w:rsidR="00AF0E13" w:rsidRDefault="00F735DA" w:rsidP="00F735DA">
      <w:pPr>
        <w:pStyle w:val="ListParagraph"/>
        <w:numPr>
          <w:ilvl w:val="0"/>
          <w:numId w:val="15"/>
        </w:numPr>
      </w:pPr>
      <w:r>
        <w:t xml:space="preserve">Transfer 300µL of </w:t>
      </w:r>
      <w:r w:rsidR="00075F79">
        <w:t>suspension</w:t>
      </w:r>
      <w:r>
        <w:t xml:space="preserve"> to a glass tube</w:t>
      </w:r>
      <w:r w:rsidR="00AF0E13">
        <w:t>, c</w:t>
      </w:r>
      <w:r>
        <w:t>entrifuge</w:t>
      </w:r>
      <w:r w:rsidR="00075F79">
        <w:t xml:space="preserve"> for 10min</w:t>
      </w:r>
      <w:r>
        <w:t xml:space="preserve"> at 4</w:t>
      </w:r>
      <w:r>
        <w:rPr>
          <w:rFonts w:cstheme="minorHAnsi"/>
        </w:rPr>
        <w:t>°</w:t>
      </w:r>
      <w:r>
        <w:t>C</w:t>
      </w:r>
      <w:r w:rsidR="00075F79">
        <w:t>,</w:t>
      </w:r>
      <w:r>
        <w:t xml:space="preserve"> 4000</w:t>
      </w:r>
      <w:r w:rsidR="00075F79">
        <w:t>rpm</w:t>
      </w:r>
      <w:r w:rsidR="00AF0E13">
        <w:t>.</w:t>
      </w:r>
    </w:p>
    <w:p w:rsidR="00F735DA" w:rsidRDefault="00AF0E13" w:rsidP="00F735DA">
      <w:pPr>
        <w:pStyle w:val="ListParagraph"/>
        <w:numPr>
          <w:ilvl w:val="0"/>
          <w:numId w:val="15"/>
        </w:numPr>
      </w:pPr>
      <w:r>
        <w:t>T</w:t>
      </w:r>
      <w:r w:rsidR="00F735DA">
        <w:t xml:space="preserve">ransfer </w:t>
      </w:r>
      <w:r w:rsidR="00A86142">
        <w:t>the</w:t>
      </w:r>
      <w:r w:rsidR="00F735DA">
        <w:t xml:space="preserve"> supernatant to </w:t>
      </w:r>
      <w:r w:rsidR="00DF70C5">
        <w:t xml:space="preserve">glass </w:t>
      </w:r>
      <w:r w:rsidR="00F735DA">
        <w:t>auto</w:t>
      </w:r>
      <w:r>
        <w:t>-</w:t>
      </w:r>
      <w:r w:rsidR="00F735DA">
        <w:t>sampler vial</w:t>
      </w:r>
      <w:r w:rsidR="00DF70C5">
        <w:t>s</w:t>
      </w:r>
      <w:r>
        <w:t xml:space="preserve">, </w:t>
      </w:r>
      <w:r w:rsidR="00F735DA">
        <w:t>set</w:t>
      </w:r>
      <w:r>
        <w:t xml:space="preserve"> pellet</w:t>
      </w:r>
      <w:r w:rsidR="00DF70C5">
        <w:t>s</w:t>
      </w:r>
      <w:r w:rsidR="00F735DA">
        <w:t xml:space="preserve"> aside</w:t>
      </w:r>
      <w:r>
        <w:t xml:space="preserve"> for dry weight determination later</w:t>
      </w:r>
      <w:r w:rsidR="00F735DA">
        <w:t>.</w:t>
      </w:r>
    </w:p>
    <w:p w:rsidR="004A1E0D" w:rsidRDefault="004A1E0D" w:rsidP="004A1E0D">
      <w:pPr>
        <w:pStyle w:val="ListParagraph"/>
        <w:numPr>
          <w:ilvl w:val="0"/>
          <w:numId w:val="15"/>
        </w:numPr>
      </w:pPr>
      <w:r>
        <w:t xml:space="preserve">Create </w:t>
      </w:r>
      <w:r w:rsidRPr="000C6993">
        <w:t xml:space="preserve">pooled sample by </w:t>
      </w:r>
      <w:r>
        <w:t xml:space="preserve">combining </w:t>
      </w:r>
      <w:r w:rsidRPr="000C6993">
        <w:t>10u</w:t>
      </w:r>
      <w:r>
        <w:t>L</w:t>
      </w:r>
      <w:r w:rsidRPr="001535D1">
        <w:t xml:space="preserve"> </w:t>
      </w:r>
      <w:r w:rsidRPr="000C6993">
        <w:t>aliquot</w:t>
      </w:r>
      <w:r>
        <w:t>s</w:t>
      </w:r>
      <w:r w:rsidRPr="000C6993">
        <w:t xml:space="preserve"> from each</w:t>
      </w:r>
      <w:r>
        <w:t xml:space="preserve"> individual</w:t>
      </w:r>
      <w:r w:rsidRPr="000C6993">
        <w:t xml:space="preserve"> sample</w:t>
      </w:r>
      <w:r>
        <w:t>.</w:t>
      </w:r>
    </w:p>
    <w:p w:rsidR="00F735DA" w:rsidRDefault="00F735DA" w:rsidP="006B2F97">
      <w:pPr>
        <w:pStyle w:val="ListParagraph"/>
        <w:numPr>
          <w:ilvl w:val="0"/>
          <w:numId w:val="15"/>
        </w:numPr>
      </w:pPr>
      <w:r>
        <w:t>Add 300µL of diethyl ether to sample</w:t>
      </w:r>
      <w:r w:rsidR="00DF70C5">
        <w:t xml:space="preserve"> extracts</w:t>
      </w:r>
      <w:r>
        <w:t xml:space="preserve"> and </w:t>
      </w:r>
      <w:r w:rsidR="00DF70C5">
        <w:t xml:space="preserve">calibration </w:t>
      </w:r>
      <w:r>
        <w:t>standards</w:t>
      </w:r>
      <w:r w:rsidR="00DF70C5">
        <w:t>, v</w:t>
      </w:r>
      <w:r>
        <w:t>ortex for 10</w:t>
      </w:r>
      <w:r w:rsidR="001535D1">
        <w:t>sec</w:t>
      </w:r>
      <w:r>
        <w:t xml:space="preserve"> to emulsify</w:t>
      </w:r>
      <w:r w:rsidR="00DF70C5">
        <w:t>, leave for</w:t>
      </w:r>
      <w:r>
        <w:t xml:space="preserve"> </w:t>
      </w:r>
      <w:r w:rsidR="001535D1">
        <w:t>5</w:t>
      </w:r>
      <w:r>
        <w:t>min</w:t>
      </w:r>
      <w:r w:rsidR="00DF70C5">
        <w:t xml:space="preserve"> </w:t>
      </w:r>
      <w:r w:rsidR="004A1E0D">
        <w:t xml:space="preserve">on ice </w:t>
      </w:r>
      <w:r w:rsidR="00DF70C5">
        <w:t>to allow initial phase separation</w:t>
      </w:r>
      <w:r>
        <w:t>.</w:t>
      </w:r>
    </w:p>
    <w:p w:rsidR="00A86142" w:rsidRDefault="00F735DA" w:rsidP="00F735DA">
      <w:pPr>
        <w:pStyle w:val="ListParagraph"/>
        <w:numPr>
          <w:ilvl w:val="0"/>
          <w:numId w:val="15"/>
        </w:numPr>
      </w:pPr>
      <w:r>
        <w:t>Centrifuge</w:t>
      </w:r>
      <w:r w:rsidR="00AF0E13" w:rsidRPr="00AF0E13">
        <w:t xml:space="preserve"> </w:t>
      </w:r>
      <w:r w:rsidR="00AF0E13">
        <w:t>for 1min</w:t>
      </w:r>
      <w:r>
        <w:t xml:space="preserve"> at 4</w:t>
      </w:r>
      <w:r>
        <w:rPr>
          <w:rFonts w:cstheme="minorHAnsi"/>
        </w:rPr>
        <w:t>°</w:t>
      </w:r>
      <w:r>
        <w:t>C</w:t>
      </w:r>
      <w:r w:rsidR="00AF0E13">
        <w:t>,</w:t>
      </w:r>
      <w:r>
        <w:t xml:space="preserve"> 15,000</w:t>
      </w:r>
      <w:r w:rsidR="00A86142">
        <w:t>rpm;</w:t>
      </w:r>
      <w:r>
        <w:t xml:space="preserve"> </w:t>
      </w:r>
      <w:r w:rsidR="00A86142">
        <w:t xml:space="preserve">if upper layer remains cloudy </w:t>
      </w:r>
      <w:r>
        <w:t>add more diethyl ether</w:t>
      </w:r>
      <w:r w:rsidR="00A86142">
        <w:t>, vortex and centrifuge again.</w:t>
      </w:r>
    </w:p>
    <w:p w:rsidR="00F735DA" w:rsidRDefault="00A86142" w:rsidP="00F735DA">
      <w:pPr>
        <w:pStyle w:val="ListParagraph"/>
        <w:numPr>
          <w:ilvl w:val="0"/>
          <w:numId w:val="15"/>
        </w:numPr>
      </w:pPr>
      <w:r>
        <w:t>T</w:t>
      </w:r>
      <w:r w:rsidR="00F735DA">
        <w:t>ransfer upper layer to pre-labeled auto</w:t>
      </w:r>
      <w:r w:rsidR="00AF0E13">
        <w:t>-</w:t>
      </w:r>
      <w:r w:rsidR="00F735DA">
        <w:t>sampler vial with insert and immediately cap (use glued caps from Phenomenex</w:t>
      </w:r>
      <w:r w:rsidR="00AF0E13">
        <w:t xml:space="preserve"> or analogous to prevent evaporation</w:t>
      </w:r>
      <w:r w:rsidR="00F735DA">
        <w:t>).</w:t>
      </w:r>
    </w:p>
    <w:p w:rsidR="00F735DA" w:rsidRDefault="004A1E0D" w:rsidP="00F735DA">
      <w:pPr>
        <w:pStyle w:val="ListParagraph"/>
        <w:numPr>
          <w:ilvl w:val="0"/>
          <w:numId w:val="15"/>
        </w:numPr>
      </w:pPr>
      <w:r w:rsidRPr="000C6993">
        <w:t xml:space="preserve">Promptly </w:t>
      </w:r>
      <w:r>
        <w:t>a</w:t>
      </w:r>
      <w:r w:rsidR="00F735DA">
        <w:t>nalyze by GC-MS</w:t>
      </w:r>
      <w:r w:rsidR="00DF70C5">
        <w:t>.</w:t>
      </w:r>
    </w:p>
    <w:p w:rsidR="00F735DA" w:rsidRDefault="00C63952" w:rsidP="00F735DA">
      <w:pPr>
        <w:pStyle w:val="ListParagraph"/>
        <w:numPr>
          <w:ilvl w:val="0"/>
          <w:numId w:val="15"/>
        </w:numPr>
      </w:pPr>
      <w:r>
        <w:lastRenderedPageBreak/>
        <w:t>Vacuum-d</w:t>
      </w:r>
      <w:r w:rsidR="00DF70C5">
        <w:t xml:space="preserve">ry the pellets obtained after first extraction </w:t>
      </w:r>
      <w:r>
        <w:t>at 45</w:t>
      </w:r>
      <w:r w:rsidRPr="00C63952">
        <w:rPr>
          <w:vertAlign w:val="superscript"/>
        </w:rPr>
        <w:t>o</w:t>
      </w:r>
      <w:r>
        <w:t xml:space="preserve">C </w:t>
      </w:r>
      <w:r w:rsidR="00DF70C5">
        <w:t>and determine their weights for subsequent data normalization</w:t>
      </w:r>
      <w:r w:rsidR="00F735DA">
        <w:t>.</w:t>
      </w:r>
    </w:p>
    <w:p w:rsidR="00587A6B" w:rsidRDefault="00BF33FE" w:rsidP="00BF33FE">
      <w:pPr>
        <w:pStyle w:val="Heading3"/>
      </w:pPr>
      <w:r>
        <w:t>Blood plasma</w:t>
      </w:r>
      <w:r w:rsidR="0022523F">
        <w:t>,</w:t>
      </w:r>
      <w:r>
        <w:t xml:space="preserve"> serum</w:t>
      </w:r>
      <w:r w:rsidR="0022523F">
        <w:t xml:space="preserve"> or</w:t>
      </w:r>
      <w:r>
        <w:t xml:space="preserve"> </w:t>
      </w:r>
      <w:r w:rsidR="0022523F">
        <w:t>b</w:t>
      </w:r>
      <w:r w:rsidR="0022523F" w:rsidRPr="00F735DA">
        <w:t>ronchoalveolar lavage fluid (BALF)</w:t>
      </w:r>
      <w:r w:rsidR="0022523F">
        <w:t xml:space="preserve"> </w:t>
      </w:r>
      <w:r>
        <w:t>extraction</w:t>
      </w:r>
    </w:p>
    <w:p w:rsidR="00246909" w:rsidRDefault="00246909" w:rsidP="00246909">
      <w:pPr>
        <w:numPr>
          <w:ilvl w:val="0"/>
          <w:numId w:val="15"/>
        </w:numPr>
        <w:spacing w:after="0" w:line="240" w:lineRule="auto"/>
      </w:pPr>
      <w:r>
        <w:t>Extraction solvent</w:t>
      </w:r>
    </w:p>
    <w:p w:rsidR="00246909" w:rsidRDefault="00246909" w:rsidP="00246909">
      <w:pPr>
        <w:numPr>
          <w:ilvl w:val="1"/>
          <w:numId w:val="15"/>
        </w:numPr>
        <w:spacing w:after="0" w:line="240" w:lineRule="auto"/>
      </w:pPr>
      <w:r>
        <w:t xml:space="preserve">3.35% v/v </w:t>
      </w:r>
      <w:r w:rsidRPr="00F735DA">
        <w:t>isotopically labeled internal standards</w:t>
      </w:r>
      <w:r>
        <w:t xml:space="preserve"> (IS) stock</w:t>
      </w:r>
    </w:p>
    <w:p w:rsidR="00246909" w:rsidRDefault="00246909" w:rsidP="00246909">
      <w:pPr>
        <w:numPr>
          <w:ilvl w:val="1"/>
          <w:numId w:val="15"/>
        </w:numPr>
        <w:spacing w:after="0" w:line="240" w:lineRule="auto"/>
      </w:pPr>
      <w:r>
        <w:t>1.25% v/v 1</w:t>
      </w:r>
      <w:r w:rsidR="00631E4D">
        <w:t>2</w:t>
      </w:r>
      <w:r>
        <w:t xml:space="preserve">M </w:t>
      </w:r>
      <w:proofErr w:type="spellStart"/>
      <w:r>
        <w:t>HCl</w:t>
      </w:r>
      <w:proofErr w:type="spellEnd"/>
    </w:p>
    <w:p w:rsidR="00246909" w:rsidRDefault="00246909" w:rsidP="00246909">
      <w:pPr>
        <w:numPr>
          <w:ilvl w:val="1"/>
          <w:numId w:val="15"/>
        </w:numPr>
        <w:spacing w:after="0" w:line="240" w:lineRule="auto"/>
      </w:pPr>
      <w:r>
        <w:t>95.4% v/v water</w:t>
      </w:r>
    </w:p>
    <w:p w:rsidR="00246909" w:rsidRDefault="00246909" w:rsidP="00246909">
      <w:pPr>
        <w:numPr>
          <w:ilvl w:val="0"/>
          <w:numId w:val="15"/>
        </w:numPr>
        <w:spacing w:after="0" w:line="240" w:lineRule="auto"/>
      </w:pPr>
      <w:r>
        <w:t>Remove the samples from -80°C and place them on ice for the whole duration of the extraction procedure</w:t>
      </w:r>
      <w:r w:rsidR="004A1E0D">
        <w:t>, allow to thaw</w:t>
      </w:r>
      <w:r w:rsidRPr="000C6993">
        <w:t>.</w:t>
      </w:r>
    </w:p>
    <w:p w:rsidR="004A1E0D" w:rsidRPr="000C6993" w:rsidRDefault="004A1E0D" w:rsidP="00246909">
      <w:pPr>
        <w:numPr>
          <w:ilvl w:val="0"/>
          <w:numId w:val="15"/>
        </w:numPr>
        <w:spacing w:after="0" w:line="240" w:lineRule="auto"/>
      </w:pPr>
      <w:r>
        <w:t xml:space="preserve">Transfer </w:t>
      </w:r>
      <w:r w:rsidRPr="000C6993">
        <w:t>100</w:t>
      </w:r>
      <w:r w:rsidRPr="004A1E0D">
        <w:t xml:space="preserve"> </w:t>
      </w:r>
      <w:r>
        <w:t>µL</w:t>
      </w:r>
      <w:r w:rsidRPr="000C6993">
        <w:t xml:space="preserve"> of sample </w:t>
      </w:r>
      <w:r>
        <w:t>to</w:t>
      </w:r>
      <w:r w:rsidRPr="000C6993">
        <w:t xml:space="preserve"> a glass tube (12x75mm)</w:t>
      </w:r>
      <w:r>
        <w:t>.</w:t>
      </w:r>
    </w:p>
    <w:p w:rsidR="00246909" w:rsidRPr="000C6993" w:rsidRDefault="00246909" w:rsidP="00246909">
      <w:pPr>
        <w:numPr>
          <w:ilvl w:val="0"/>
          <w:numId w:val="15"/>
        </w:numPr>
        <w:spacing w:after="0" w:line="240" w:lineRule="auto"/>
      </w:pPr>
      <w:r w:rsidRPr="000C6993">
        <w:t>Add 200</w:t>
      </w:r>
      <w:r w:rsidR="004A1E0D" w:rsidRPr="004A1E0D">
        <w:t xml:space="preserve"> </w:t>
      </w:r>
      <w:r w:rsidR="004A1E0D">
        <w:t>µL</w:t>
      </w:r>
      <w:r w:rsidRPr="000C6993">
        <w:t xml:space="preserve"> of extraction sol</w:t>
      </w:r>
      <w:r w:rsidR="004A1E0D">
        <w:t>vent, mix well,</w:t>
      </w:r>
      <w:r w:rsidRPr="000C6993">
        <w:t xml:space="preserve"> </w:t>
      </w:r>
      <w:r w:rsidR="004A1E0D">
        <w:t>c</w:t>
      </w:r>
      <w:r w:rsidRPr="000C6993">
        <w:t>entrifuge if cloudy</w:t>
      </w:r>
      <w:r w:rsidR="00593704">
        <w:t>.</w:t>
      </w:r>
    </w:p>
    <w:p w:rsidR="004A1E0D" w:rsidRDefault="004A1E0D" w:rsidP="00246909">
      <w:pPr>
        <w:numPr>
          <w:ilvl w:val="0"/>
          <w:numId w:val="15"/>
        </w:numPr>
        <w:spacing w:after="0" w:line="240" w:lineRule="auto"/>
      </w:pPr>
      <w:r>
        <w:t xml:space="preserve">Create </w:t>
      </w:r>
      <w:r w:rsidRPr="000C6993">
        <w:t xml:space="preserve">pooled sample by </w:t>
      </w:r>
      <w:r>
        <w:t xml:space="preserve">combining </w:t>
      </w:r>
      <w:r w:rsidRPr="000C6993">
        <w:t>10u</w:t>
      </w:r>
      <w:r>
        <w:t>L</w:t>
      </w:r>
      <w:r w:rsidRPr="001535D1">
        <w:t xml:space="preserve"> </w:t>
      </w:r>
      <w:r w:rsidRPr="000C6993">
        <w:t>aliquot</w:t>
      </w:r>
      <w:r>
        <w:t>s</w:t>
      </w:r>
      <w:r w:rsidRPr="000C6993">
        <w:t xml:space="preserve"> from each</w:t>
      </w:r>
      <w:r>
        <w:t xml:space="preserve"> individual</w:t>
      </w:r>
      <w:r w:rsidRPr="000C6993">
        <w:t xml:space="preserve"> sample</w:t>
      </w:r>
      <w:r>
        <w:t>.</w:t>
      </w:r>
    </w:p>
    <w:p w:rsidR="004A1E0D" w:rsidRDefault="00246909" w:rsidP="00751B08">
      <w:pPr>
        <w:numPr>
          <w:ilvl w:val="0"/>
          <w:numId w:val="15"/>
        </w:numPr>
        <w:spacing w:after="0" w:line="240" w:lineRule="auto"/>
      </w:pPr>
      <w:r w:rsidRPr="000C6993">
        <w:t xml:space="preserve">Vortex </w:t>
      </w:r>
      <w:r w:rsidR="004A1E0D">
        <w:t>the</w:t>
      </w:r>
      <w:r w:rsidRPr="000C6993">
        <w:t xml:space="preserve"> samples</w:t>
      </w:r>
      <w:r w:rsidR="004A1E0D">
        <w:t>, add 300µL of diethyl ether to sample extracts and calibration standards, vortex for 10sec to emulsify, leave for 5min on ice to allow initial phase separation.</w:t>
      </w:r>
    </w:p>
    <w:p w:rsidR="00246909" w:rsidRPr="000C6993" w:rsidRDefault="00246909" w:rsidP="004A1E0D">
      <w:pPr>
        <w:numPr>
          <w:ilvl w:val="0"/>
          <w:numId w:val="15"/>
        </w:numPr>
        <w:spacing w:after="0" w:line="240" w:lineRule="auto"/>
      </w:pPr>
      <w:r w:rsidRPr="000C6993">
        <w:t xml:space="preserve">Centrifuge </w:t>
      </w:r>
      <w:r w:rsidR="004A1E0D">
        <w:t>for</w:t>
      </w:r>
      <w:r w:rsidRPr="000C6993">
        <w:t xml:space="preserve"> 1</w:t>
      </w:r>
      <w:r w:rsidR="004A1E0D">
        <w:t>min</w:t>
      </w:r>
      <w:r w:rsidRPr="000C6993">
        <w:t xml:space="preserve"> at 4</w:t>
      </w:r>
      <w:r w:rsidR="004A1E0D" w:rsidRPr="004A1E0D">
        <w:rPr>
          <w:vertAlign w:val="superscript"/>
        </w:rPr>
        <w:t>o</w:t>
      </w:r>
      <w:r w:rsidRPr="000C6993">
        <w:t>C</w:t>
      </w:r>
      <w:r w:rsidR="004A1E0D">
        <w:t>, 4000rpm</w:t>
      </w:r>
      <w:r w:rsidRPr="000C6993">
        <w:t xml:space="preserve"> to separate layers, transfer upper layer to auto</w:t>
      </w:r>
      <w:r w:rsidR="004A1E0D">
        <w:t>-</w:t>
      </w:r>
      <w:r w:rsidRPr="000C6993">
        <w:t>sampler vial with insert, cap vials immediately.</w:t>
      </w:r>
    </w:p>
    <w:p w:rsidR="00246909" w:rsidRPr="000C6993" w:rsidRDefault="00246909" w:rsidP="00246909">
      <w:pPr>
        <w:numPr>
          <w:ilvl w:val="0"/>
          <w:numId w:val="15"/>
        </w:numPr>
        <w:spacing w:after="0" w:line="240" w:lineRule="auto"/>
      </w:pPr>
      <w:r w:rsidRPr="000C6993">
        <w:t>Promptly analyze by GC-MS</w:t>
      </w:r>
      <w:r w:rsidR="00593704">
        <w:t>.</w:t>
      </w:r>
    </w:p>
    <w:p w:rsidR="008A24ED" w:rsidRDefault="008A24ED" w:rsidP="008F41D2">
      <w:pPr>
        <w:spacing w:after="0" w:line="240" w:lineRule="auto"/>
        <w:rPr>
          <w:u w:val="single"/>
        </w:rPr>
      </w:pPr>
    </w:p>
    <w:p w:rsidR="00CB5E40" w:rsidRPr="00CB5E40" w:rsidRDefault="00F735DA" w:rsidP="00292D3F">
      <w:pPr>
        <w:pStyle w:val="Heading2"/>
      </w:pPr>
      <w:r>
        <w:t>G</w:t>
      </w:r>
      <w:r w:rsidR="007C2C13">
        <w:t>C-MS</w:t>
      </w:r>
    </w:p>
    <w:p w:rsidR="00CB5E40" w:rsidRPr="001A2DD2" w:rsidRDefault="001A2DD2" w:rsidP="008F41D2">
      <w:pPr>
        <w:spacing w:after="0" w:line="240" w:lineRule="auto"/>
      </w:pPr>
      <w:r w:rsidRPr="001A2DD2">
        <w:t xml:space="preserve">Samples are </w:t>
      </w:r>
      <w:r>
        <w:t xml:space="preserve">analyzed on </w:t>
      </w:r>
      <w:r w:rsidRPr="001A2DD2">
        <w:t>ZB-WAX Plus 30x0.25x0.25</w:t>
      </w:r>
      <w:r>
        <w:t xml:space="preserve"> column from P</w:t>
      </w:r>
      <w:r w:rsidRPr="001A2DD2">
        <w:t>henomenex</w:t>
      </w:r>
      <w:r>
        <w:t xml:space="preserve">. The specific GC-MS method details are provided in </w:t>
      </w:r>
      <w:r w:rsidRPr="001A2DD2">
        <w:t>WAXPLUS_100-200C_2_SIM.txt</w:t>
      </w:r>
      <w:r>
        <w:t xml:space="preserve"> file.</w:t>
      </w:r>
    </w:p>
    <w:p w:rsidR="00863E7A" w:rsidRDefault="00863E7A" w:rsidP="00424EE2">
      <w:pPr>
        <w:spacing w:after="0" w:line="240" w:lineRule="auto"/>
      </w:pPr>
      <w:bookmarkStart w:id="0" w:name="_GoBack"/>
      <w:bookmarkEnd w:id="0"/>
    </w:p>
    <w:p w:rsidR="0030010F" w:rsidRDefault="0030010F" w:rsidP="0030010F">
      <w:pPr>
        <w:pStyle w:val="Heading2"/>
      </w:pPr>
      <w:r w:rsidRPr="0030010F">
        <w:t>Reference</w:t>
      </w:r>
      <w:r>
        <w:t>s</w:t>
      </w:r>
      <w:r w:rsidRPr="0030010F">
        <w:t xml:space="preserve"> </w:t>
      </w:r>
    </w:p>
    <w:p w:rsidR="00BC30F5" w:rsidRPr="00A24EF6" w:rsidRDefault="00BC30F5" w:rsidP="003E3017"/>
    <w:sectPr w:rsidR="00BC30F5" w:rsidRPr="00A24EF6" w:rsidSect="00E2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15B"/>
    <w:multiLevelType w:val="hybridMultilevel"/>
    <w:tmpl w:val="0ABE68DE"/>
    <w:lvl w:ilvl="0" w:tplc="B9F0C4D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C28"/>
    <w:multiLevelType w:val="hybridMultilevel"/>
    <w:tmpl w:val="6F20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828"/>
    <w:multiLevelType w:val="hybridMultilevel"/>
    <w:tmpl w:val="E014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C26"/>
    <w:multiLevelType w:val="hybridMultilevel"/>
    <w:tmpl w:val="B128E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53AAF"/>
    <w:multiLevelType w:val="hybridMultilevel"/>
    <w:tmpl w:val="200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D75"/>
    <w:multiLevelType w:val="hybridMultilevel"/>
    <w:tmpl w:val="69A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7419"/>
    <w:multiLevelType w:val="hybridMultilevel"/>
    <w:tmpl w:val="4C7A56E0"/>
    <w:lvl w:ilvl="0" w:tplc="507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4667"/>
    <w:multiLevelType w:val="hybridMultilevel"/>
    <w:tmpl w:val="6F20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6CE"/>
    <w:multiLevelType w:val="hybridMultilevel"/>
    <w:tmpl w:val="62DAAB36"/>
    <w:lvl w:ilvl="0" w:tplc="9E1E4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762F1A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0673"/>
    <w:multiLevelType w:val="hybridMultilevel"/>
    <w:tmpl w:val="1B4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036C"/>
    <w:multiLevelType w:val="hybridMultilevel"/>
    <w:tmpl w:val="DEA02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33BB7"/>
    <w:multiLevelType w:val="hybridMultilevel"/>
    <w:tmpl w:val="474A7346"/>
    <w:lvl w:ilvl="0" w:tplc="A42E1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EA4F20"/>
    <w:multiLevelType w:val="hybridMultilevel"/>
    <w:tmpl w:val="8C1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2D04"/>
    <w:multiLevelType w:val="hybridMultilevel"/>
    <w:tmpl w:val="B128E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C575B"/>
    <w:multiLevelType w:val="hybridMultilevel"/>
    <w:tmpl w:val="28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64D"/>
    <w:multiLevelType w:val="hybridMultilevel"/>
    <w:tmpl w:val="21E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C"/>
    <w:rsid w:val="000013E2"/>
    <w:rsid w:val="0000677A"/>
    <w:rsid w:val="00007839"/>
    <w:rsid w:val="00027354"/>
    <w:rsid w:val="00060CB3"/>
    <w:rsid w:val="0007516C"/>
    <w:rsid w:val="000752A4"/>
    <w:rsid w:val="00075F79"/>
    <w:rsid w:val="00083375"/>
    <w:rsid w:val="000865B4"/>
    <w:rsid w:val="000C6816"/>
    <w:rsid w:val="000C6993"/>
    <w:rsid w:val="000D694D"/>
    <w:rsid w:val="00141958"/>
    <w:rsid w:val="00147732"/>
    <w:rsid w:val="001535D1"/>
    <w:rsid w:val="00160CDD"/>
    <w:rsid w:val="00162F01"/>
    <w:rsid w:val="001675AF"/>
    <w:rsid w:val="00185410"/>
    <w:rsid w:val="00187BB7"/>
    <w:rsid w:val="00193949"/>
    <w:rsid w:val="001A2DD2"/>
    <w:rsid w:val="001A6A73"/>
    <w:rsid w:val="001B0F0E"/>
    <w:rsid w:val="001C5EC7"/>
    <w:rsid w:val="001D180A"/>
    <w:rsid w:val="001D7378"/>
    <w:rsid w:val="0022523F"/>
    <w:rsid w:val="00230BAC"/>
    <w:rsid w:val="00246909"/>
    <w:rsid w:val="00265FA2"/>
    <w:rsid w:val="002811BA"/>
    <w:rsid w:val="00292D3F"/>
    <w:rsid w:val="002941BD"/>
    <w:rsid w:val="002B2909"/>
    <w:rsid w:val="002D0919"/>
    <w:rsid w:val="002D7545"/>
    <w:rsid w:val="0030010F"/>
    <w:rsid w:val="00325B60"/>
    <w:rsid w:val="00382DA1"/>
    <w:rsid w:val="003B4C41"/>
    <w:rsid w:val="003B7DBD"/>
    <w:rsid w:val="003B7EFE"/>
    <w:rsid w:val="003C0268"/>
    <w:rsid w:val="003D51A8"/>
    <w:rsid w:val="003E0DAB"/>
    <w:rsid w:val="003E3017"/>
    <w:rsid w:val="00407CDA"/>
    <w:rsid w:val="00410941"/>
    <w:rsid w:val="00424EE2"/>
    <w:rsid w:val="00436F3B"/>
    <w:rsid w:val="004501EB"/>
    <w:rsid w:val="0047446E"/>
    <w:rsid w:val="00476441"/>
    <w:rsid w:val="004851CB"/>
    <w:rsid w:val="004864E8"/>
    <w:rsid w:val="004A1E0D"/>
    <w:rsid w:val="004A382E"/>
    <w:rsid w:val="004A65E9"/>
    <w:rsid w:val="004E3D6B"/>
    <w:rsid w:val="00502C64"/>
    <w:rsid w:val="0051547C"/>
    <w:rsid w:val="00520596"/>
    <w:rsid w:val="00587A6B"/>
    <w:rsid w:val="00593704"/>
    <w:rsid w:val="005A095A"/>
    <w:rsid w:val="005B200A"/>
    <w:rsid w:val="005B518D"/>
    <w:rsid w:val="005B7C74"/>
    <w:rsid w:val="005C4521"/>
    <w:rsid w:val="005C7F0E"/>
    <w:rsid w:val="005D4A82"/>
    <w:rsid w:val="005D7DD3"/>
    <w:rsid w:val="00623628"/>
    <w:rsid w:val="00631E4D"/>
    <w:rsid w:val="006429F6"/>
    <w:rsid w:val="00657B80"/>
    <w:rsid w:val="006F07A8"/>
    <w:rsid w:val="006F7519"/>
    <w:rsid w:val="00703438"/>
    <w:rsid w:val="00714690"/>
    <w:rsid w:val="00744F46"/>
    <w:rsid w:val="00760D42"/>
    <w:rsid w:val="00761717"/>
    <w:rsid w:val="00770609"/>
    <w:rsid w:val="007B5403"/>
    <w:rsid w:val="007C2C13"/>
    <w:rsid w:val="007C55C7"/>
    <w:rsid w:val="007F3ACF"/>
    <w:rsid w:val="00812A03"/>
    <w:rsid w:val="0081501C"/>
    <w:rsid w:val="008223EB"/>
    <w:rsid w:val="00863E7A"/>
    <w:rsid w:val="008A24ED"/>
    <w:rsid w:val="008E1AE5"/>
    <w:rsid w:val="008F41D2"/>
    <w:rsid w:val="00920217"/>
    <w:rsid w:val="00941BAF"/>
    <w:rsid w:val="009428BD"/>
    <w:rsid w:val="00942F2F"/>
    <w:rsid w:val="009620D7"/>
    <w:rsid w:val="00975F01"/>
    <w:rsid w:val="009F4CB7"/>
    <w:rsid w:val="009F777F"/>
    <w:rsid w:val="00A04CC7"/>
    <w:rsid w:val="00A125A9"/>
    <w:rsid w:val="00A24EF6"/>
    <w:rsid w:val="00A26C48"/>
    <w:rsid w:val="00A4521C"/>
    <w:rsid w:val="00A73B54"/>
    <w:rsid w:val="00A86142"/>
    <w:rsid w:val="00A861A2"/>
    <w:rsid w:val="00AD114D"/>
    <w:rsid w:val="00AE4242"/>
    <w:rsid w:val="00AE7339"/>
    <w:rsid w:val="00AE7B3E"/>
    <w:rsid w:val="00AF0E13"/>
    <w:rsid w:val="00B05E98"/>
    <w:rsid w:val="00B13A79"/>
    <w:rsid w:val="00B37D22"/>
    <w:rsid w:val="00B53FEB"/>
    <w:rsid w:val="00B62F2D"/>
    <w:rsid w:val="00B73435"/>
    <w:rsid w:val="00BA23CE"/>
    <w:rsid w:val="00BB27D7"/>
    <w:rsid w:val="00BB5C1F"/>
    <w:rsid w:val="00BC1B0D"/>
    <w:rsid w:val="00BC30F5"/>
    <w:rsid w:val="00BF33FE"/>
    <w:rsid w:val="00C338A1"/>
    <w:rsid w:val="00C569C2"/>
    <w:rsid w:val="00C6060D"/>
    <w:rsid w:val="00C63952"/>
    <w:rsid w:val="00CB5E40"/>
    <w:rsid w:val="00CE1B6B"/>
    <w:rsid w:val="00D154DE"/>
    <w:rsid w:val="00D4039F"/>
    <w:rsid w:val="00D40C34"/>
    <w:rsid w:val="00D47617"/>
    <w:rsid w:val="00D80462"/>
    <w:rsid w:val="00D82E5E"/>
    <w:rsid w:val="00DC453F"/>
    <w:rsid w:val="00DC7C7A"/>
    <w:rsid w:val="00DE2645"/>
    <w:rsid w:val="00DE2993"/>
    <w:rsid w:val="00DF0212"/>
    <w:rsid w:val="00DF70C5"/>
    <w:rsid w:val="00DF7C8C"/>
    <w:rsid w:val="00E24945"/>
    <w:rsid w:val="00E64A03"/>
    <w:rsid w:val="00EA6905"/>
    <w:rsid w:val="00EB787C"/>
    <w:rsid w:val="00EC7832"/>
    <w:rsid w:val="00EF35FD"/>
    <w:rsid w:val="00F01920"/>
    <w:rsid w:val="00F421FC"/>
    <w:rsid w:val="00F43A46"/>
    <w:rsid w:val="00F63D2E"/>
    <w:rsid w:val="00F735DA"/>
    <w:rsid w:val="00F76157"/>
    <w:rsid w:val="00FB22A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9D157-570E-49E8-A74D-D6D92B9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93"/>
  </w:style>
  <w:style w:type="paragraph" w:styleId="Heading1">
    <w:name w:val="heading 1"/>
    <w:basedOn w:val="Normal"/>
    <w:next w:val="Normal"/>
    <w:link w:val="Heading1Char"/>
    <w:uiPriority w:val="9"/>
    <w:qFormat/>
    <w:rsid w:val="00AE7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D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B7"/>
    <w:pPr>
      <w:ind w:left="720"/>
      <w:contextualSpacing/>
    </w:pPr>
  </w:style>
  <w:style w:type="table" w:styleId="TableGrid">
    <w:name w:val="Table Grid"/>
    <w:basedOn w:val="TableNormal"/>
    <w:uiPriority w:val="59"/>
    <w:rsid w:val="002D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D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2D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0010F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3001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0010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9DDB-649B-4DCC-A473-1D69ED33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Evans</dc:creator>
  <cp:lastModifiedBy>Alexander Raskind</cp:lastModifiedBy>
  <cp:revision>21</cp:revision>
  <cp:lastPrinted>2015-03-09T18:04:00Z</cp:lastPrinted>
  <dcterms:created xsi:type="dcterms:W3CDTF">2015-03-09T21:39:00Z</dcterms:created>
  <dcterms:modified xsi:type="dcterms:W3CDTF">2015-03-11T19:56:00Z</dcterms:modified>
</cp:coreProperties>
</file>