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01743" w14:textId="57895FD7" w:rsidR="00742609" w:rsidRDefault="00742609" w:rsidP="00742609">
      <w:pPr>
        <w:pStyle w:val="Heading4"/>
        <w:rPr>
          <w:shd w:val="clear" w:color="auto" w:fill="FFFFFF"/>
          <w:lang w:val="en-CA"/>
        </w:rPr>
      </w:pPr>
      <w:r>
        <w:rPr>
          <w:shd w:val="clear" w:color="auto" w:fill="FFFFFF"/>
          <w:lang w:val="en-CA"/>
        </w:rPr>
        <w:t>Metabolomics analysis.</w:t>
      </w:r>
    </w:p>
    <w:p w14:paraId="1A6E3034" w14:textId="5CC15F80" w:rsidR="00742609" w:rsidRPr="00742609" w:rsidRDefault="00742609" w:rsidP="00742609">
      <w:pPr>
        <w:shd w:val="clear" w:color="auto" w:fill="FFFFFF"/>
        <w:rPr>
          <w:rFonts w:ascii="TimesNewRomanPSMT" w:eastAsia="Times New Roman" w:hAnsi="TimesNewRomanPSMT"/>
          <w:i/>
          <w:iCs/>
          <w:color w:val="212121"/>
          <w:shd w:val="clear" w:color="auto" w:fill="FFFFFF"/>
          <w:lang w:val="en-CA"/>
        </w:rPr>
      </w:pPr>
      <w:r>
        <w:rPr>
          <w:rFonts w:ascii="TimesNewRomanPSMT" w:eastAsia="Times New Roman" w:hAnsi="TimesNewRomanPSMT"/>
          <w:i/>
          <w:iCs/>
          <w:color w:val="212121"/>
          <w:shd w:val="clear" w:color="auto" w:fill="FFFFFF"/>
          <w:lang w:val="en-CA"/>
        </w:rPr>
        <w:t>Sugars Analysis</w:t>
      </w:r>
    </w:p>
    <w:p w14:paraId="715469E3" w14:textId="58D91101" w:rsidR="00742609" w:rsidRPr="006D2FAE" w:rsidRDefault="00742609" w:rsidP="00742609">
      <w:pPr>
        <w:shd w:val="clear" w:color="auto" w:fill="FFFFFF"/>
        <w:rPr>
          <w:rFonts w:eastAsia="Times New Roman"/>
          <w:color w:val="222222"/>
        </w:rPr>
      </w:pPr>
      <w:r>
        <w:rPr>
          <w:rFonts w:ascii="TimesNewRomanPSMT" w:eastAsia="Times New Roman" w:hAnsi="TimesNewRomanPSMT"/>
          <w:color w:val="212121"/>
          <w:shd w:val="clear" w:color="auto" w:fill="FFFFFF"/>
          <w:lang w:val="en-CA"/>
        </w:rPr>
        <w:t xml:space="preserve">Low molecular weight sugars and </w:t>
      </w:r>
      <w:proofErr w:type="spellStart"/>
      <w:r w:rsidRPr="006D2FAE">
        <w:rPr>
          <w:rFonts w:eastAsia="Times New Roman"/>
          <w:color w:val="212121"/>
          <w:shd w:val="clear" w:color="auto" w:fill="FFFFFF"/>
          <w:lang w:val="en-CA"/>
        </w:rPr>
        <w:t>NAc</w:t>
      </w:r>
      <w:proofErr w:type="spellEnd"/>
      <w:r w:rsidRPr="006D2FAE">
        <w:rPr>
          <w:rFonts w:eastAsia="Times New Roman"/>
          <w:color w:val="212121"/>
          <w:shd w:val="clear" w:color="auto" w:fill="FFFFFF"/>
          <w:lang w:val="en-CA"/>
        </w:rPr>
        <w:t xml:space="preserve">-sugar amines were quantified by LC-MRM/MS at The Metabolomics Innovation Centre (TMIC) commercial service (University of Victoria , Genome BC Proteomics Centre), according to previously published </w:t>
      </w:r>
      <w:r w:rsidRPr="006D2FAE">
        <w:rPr>
          <w:color w:val="222222"/>
        </w:rPr>
        <w:t>UPLC-MRM/MS</w:t>
      </w:r>
      <w:r w:rsidRPr="006D2FAE">
        <w:rPr>
          <w:rFonts w:eastAsia="Times New Roman"/>
          <w:color w:val="212121"/>
          <w:shd w:val="clear" w:color="auto" w:fill="FFFFFF"/>
          <w:lang w:val="en-CA"/>
        </w:rPr>
        <w:t xml:space="preserve">  methods </w:t>
      </w:r>
      <w:r w:rsidRPr="006D2FAE">
        <w:rPr>
          <w:rFonts w:eastAsia="Times New Roman"/>
          <w:color w:val="212121"/>
          <w:shd w:val="clear" w:color="auto" w:fill="FFFFFF"/>
          <w:lang w:val="en-CA"/>
        </w:rPr>
        <w:fldChar w:fldCharType="begin"/>
      </w:r>
      <w:r w:rsidRPr="006D2FAE">
        <w:rPr>
          <w:rFonts w:eastAsia="Times New Roman"/>
          <w:color w:val="212121"/>
          <w:shd w:val="clear" w:color="auto" w:fill="FFFFFF"/>
          <w:lang w:val="en-CA"/>
        </w:rPr>
        <w:instrText xml:space="preserve"> ADDIN ZOTERO_ITEM CSL_CITATION {"citationID":"mZYBSoyd","properties":{"formattedCitation":"(45)","plainCitation":"(45)","noteIndex":0},"citationItems":[{"id":1212,"uris":["http://zotero.org/users/4134801/items/DKH6ENQY"],"uri":["http://zotero.org/users/4134801/items/DKH6ENQY"],"itemData":{"id":1212,"type":"article-journal","abstract":"A new method for the separation and quantitation of 13 mono‐ and disaccharides has been developed by chemical derivatization/ultra‐HPLC/negative‐ion ESI‐multiple‐reaction monitoring MS. 3‐Nitrophenyl...","container-title":"ELECTROPHORESIS","DOI":"10.1002/elps.201600150","ISSN":"1522-2683","issue":"13","language":"en","note":"publisher: John Wiley &amp; Sons, Ltd","page":"1851-1860","source":"onlinelibrary.wiley.com","title":"Quantitation of low molecular weight sugars by chemical derivatization‐liquid chromatography/multiple reaction monitoring/mass spectrometry","volume":"37","author":[{"family":"Han","given":"Jun"},{"family":"Lin","given":"Karen"},{"family":"Sequria","given":"Carita"},{"family":"Yang","given":"Juncong"},{"family":"Borchers","given":"Christoph H."}],"issued":{"date-parts":[["2016",7,1]]}}}],"schema":"https://github.com/citation-style-language/schema/raw/master/csl-citation.json"} </w:instrText>
      </w:r>
      <w:r w:rsidRPr="006D2FAE">
        <w:rPr>
          <w:rFonts w:eastAsia="Times New Roman"/>
          <w:color w:val="212121"/>
          <w:shd w:val="clear" w:color="auto" w:fill="FFFFFF"/>
          <w:lang w:val="en-CA"/>
        </w:rPr>
        <w:fldChar w:fldCharType="separate"/>
      </w:r>
      <w:r w:rsidRPr="006D2FAE">
        <w:rPr>
          <w:rFonts w:eastAsia="Times New Roman"/>
          <w:noProof/>
          <w:color w:val="212121"/>
          <w:shd w:val="clear" w:color="auto" w:fill="FFFFFF"/>
          <w:lang w:val="en-CA"/>
        </w:rPr>
        <w:t>(45)</w:t>
      </w:r>
      <w:r w:rsidRPr="006D2FAE">
        <w:rPr>
          <w:rFonts w:eastAsia="Times New Roman"/>
          <w:color w:val="212121"/>
          <w:shd w:val="clear" w:color="auto" w:fill="FFFFFF"/>
          <w:lang w:val="en-CA"/>
        </w:rPr>
        <w:fldChar w:fldCharType="end"/>
      </w:r>
      <w:r w:rsidRPr="006D2FAE">
        <w:rPr>
          <w:rFonts w:eastAsia="Times New Roman"/>
          <w:color w:val="212121"/>
          <w:shd w:val="clear" w:color="auto" w:fill="FFFFFF"/>
          <w:lang w:val="en-CA"/>
        </w:rPr>
        <w:t xml:space="preserve">, with necessary modifications. </w:t>
      </w:r>
      <w:r w:rsidRPr="006D2FAE">
        <w:rPr>
          <w:color w:val="000000"/>
        </w:rPr>
        <w:t>In brief, a mixed</w:t>
      </w:r>
      <w:r w:rsidRPr="006D2FAE">
        <w:rPr>
          <w:color w:val="222222"/>
        </w:rPr>
        <w:t xml:space="preserve"> stock solution of 13 low-MW sugars and 4 N-acetyl sugar amines was prepared with the use of their standard substances in 80% methanol at 500 µM for each compound. This solution was then serially diluted with the same solvent to prepare calibration solutions in a concentration range of 0.002 to 125 µM. For chemical </w:t>
      </w:r>
      <w:proofErr w:type="gramStart"/>
      <w:r w:rsidRPr="006D2FAE">
        <w:rPr>
          <w:color w:val="222222"/>
        </w:rPr>
        <w:t>derivatization,  </w:t>
      </w:r>
      <w:r w:rsidRPr="006D2FAE">
        <w:rPr>
          <w:color w:val="000000"/>
        </w:rPr>
        <w:t>20</w:t>
      </w:r>
      <w:proofErr w:type="gramEnd"/>
      <w:r w:rsidRPr="006D2FAE">
        <w:rPr>
          <w:color w:val="000000"/>
        </w:rPr>
        <w:t xml:space="preserve"> µL of each medium sample or each calibration solution was mixed in turn with 20 µL of an internal standard solution containing </w:t>
      </w:r>
      <w:r w:rsidRPr="006D2FAE">
        <w:rPr>
          <w:color w:val="000000"/>
          <w:vertAlign w:val="superscript"/>
        </w:rPr>
        <w:t>13</w:t>
      </w:r>
      <w:r w:rsidRPr="006D2FAE">
        <w:rPr>
          <w:color w:val="000000"/>
        </w:rPr>
        <w:t>C</w:t>
      </w:r>
      <w:r w:rsidRPr="006D2FAE">
        <w:rPr>
          <w:color w:val="000000"/>
          <w:vertAlign w:val="subscript"/>
        </w:rPr>
        <w:t>6</w:t>
      </w:r>
      <w:r w:rsidRPr="006D2FAE">
        <w:rPr>
          <w:color w:val="000000"/>
        </w:rPr>
        <w:t>-glucose, </w:t>
      </w:r>
      <w:r w:rsidRPr="006D2FAE">
        <w:rPr>
          <w:color w:val="000000"/>
          <w:vertAlign w:val="superscript"/>
        </w:rPr>
        <w:t>13</w:t>
      </w:r>
      <w:r w:rsidRPr="006D2FAE">
        <w:rPr>
          <w:color w:val="000000"/>
        </w:rPr>
        <w:t>C</w:t>
      </w:r>
      <w:r w:rsidRPr="006D2FAE">
        <w:rPr>
          <w:color w:val="000000"/>
          <w:vertAlign w:val="subscript"/>
        </w:rPr>
        <w:t>6</w:t>
      </w:r>
      <w:r w:rsidRPr="006D2FAE">
        <w:rPr>
          <w:color w:val="000000"/>
        </w:rPr>
        <w:t>-mannose, </w:t>
      </w:r>
      <w:r w:rsidRPr="006D2FAE">
        <w:rPr>
          <w:color w:val="000000"/>
          <w:vertAlign w:val="superscript"/>
        </w:rPr>
        <w:t>13</w:t>
      </w:r>
      <w:r w:rsidRPr="006D2FAE">
        <w:rPr>
          <w:color w:val="000000"/>
        </w:rPr>
        <w:t>C</w:t>
      </w:r>
      <w:r w:rsidRPr="006D2FAE">
        <w:rPr>
          <w:color w:val="000000"/>
          <w:vertAlign w:val="subscript"/>
        </w:rPr>
        <w:t>6</w:t>
      </w:r>
      <w:r w:rsidRPr="006D2FAE">
        <w:rPr>
          <w:color w:val="000000"/>
        </w:rPr>
        <w:t>-fructose and </w:t>
      </w:r>
      <w:r w:rsidRPr="006D2FAE">
        <w:rPr>
          <w:color w:val="000000"/>
          <w:vertAlign w:val="superscript"/>
        </w:rPr>
        <w:t>13</w:t>
      </w:r>
      <w:r w:rsidRPr="006D2FAE">
        <w:rPr>
          <w:color w:val="000000"/>
        </w:rPr>
        <w:t>C</w:t>
      </w:r>
      <w:r w:rsidRPr="006D2FAE">
        <w:rPr>
          <w:color w:val="000000"/>
          <w:vertAlign w:val="subscript"/>
        </w:rPr>
        <w:t>5</w:t>
      </w:r>
      <w:r w:rsidRPr="006D2FAE">
        <w:rPr>
          <w:color w:val="000000"/>
        </w:rPr>
        <w:t xml:space="preserve">-ribose in water, 40 µL of 200-mM 3-nitrophenylhydrazine hydrochloride solution in 60% methanol and 40 µL of 200-mM </w:t>
      </w:r>
      <w:proofErr w:type="spellStart"/>
      <w:r w:rsidRPr="006D2FAE">
        <w:rPr>
          <w:color w:val="000000"/>
        </w:rPr>
        <w:t>EDC.HCl</w:t>
      </w:r>
      <w:proofErr w:type="spellEnd"/>
      <w:r w:rsidRPr="006D2FAE">
        <w:rPr>
          <w:color w:val="000000"/>
        </w:rPr>
        <w:t xml:space="preserve"> solution prepared in a mixed solvent of methanol/water/pyridine (60:40:5, v/v/v). The mixture was allowed to react at 50 ºC for 90 min. After reaction, 20-µL aliquots were injected onto a </w:t>
      </w:r>
      <w:proofErr w:type="spellStart"/>
      <w:r w:rsidRPr="006D2FAE">
        <w:rPr>
          <w:color w:val="000000"/>
        </w:rPr>
        <w:t>Phenomenx</w:t>
      </w:r>
      <w:proofErr w:type="spellEnd"/>
      <w:r w:rsidRPr="006D2FAE">
        <w:rPr>
          <w:color w:val="000000"/>
        </w:rPr>
        <w:t xml:space="preserve"> PFP UPLC column (2.1 x 150 mm, 1.7 µm) to run LC-MS/MS on a</w:t>
      </w:r>
      <w:r w:rsidRPr="006D2FAE">
        <w:rPr>
          <w:color w:val="222222"/>
        </w:rPr>
        <w:t>n Agilent 1290 UHPLC system coupled to an Agilent 6495B QQQ mass spectrometer, which was operated in the negative-ion multiple-reaction monitoring (MRM) mode.  For LC </w:t>
      </w:r>
      <w:r w:rsidRPr="006D2FAE">
        <w:rPr>
          <w:color w:val="000000"/>
        </w:rPr>
        <w:t xml:space="preserve">separation, 0.1% formic acid in water/methanol (76/24, v/v) was used as the mobile phase at 0.25 mL/min and 40 ºC for isocratic elution over a period of 15 min.  The raw data was acquired using the Agilent </w:t>
      </w:r>
      <w:proofErr w:type="spellStart"/>
      <w:r w:rsidRPr="006D2FAE">
        <w:rPr>
          <w:color w:val="000000"/>
        </w:rPr>
        <w:t>MassHunter</w:t>
      </w:r>
      <w:proofErr w:type="spellEnd"/>
      <w:r w:rsidRPr="006D2FAE">
        <w:rPr>
          <w:color w:val="000000"/>
        </w:rPr>
        <w:t xml:space="preserve">® 7.0 software. After data acquisitions, linearly regressed calibration curves of individual compounds were constructed with the analyte-to-internal standard peak area ratios measured from injection of the calibration curves. For those compounds without their isotope-labelling analogues as the internal </w:t>
      </w:r>
      <w:r w:rsidRPr="006D2FAE">
        <w:rPr>
          <w:color w:val="000000"/>
        </w:rPr>
        <w:lastRenderedPageBreak/>
        <w:t>standards, </w:t>
      </w:r>
      <w:r w:rsidRPr="006D2FAE">
        <w:rPr>
          <w:color w:val="000000"/>
          <w:vertAlign w:val="superscript"/>
        </w:rPr>
        <w:t>13</w:t>
      </w:r>
      <w:r w:rsidRPr="006D2FAE">
        <w:rPr>
          <w:color w:val="000000"/>
        </w:rPr>
        <w:t>C</w:t>
      </w:r>
      <w:r w:rsidRPr="006D2FAE">
        <w:rPr>
          <w:color w:val="000000"/>
          <w:vertAlign w:val="subscript"/>
        </w:rPr>
        <w:t>6</w:t>
      </w:r>
      <w:r w:rsidRPr="006D2FAE">
        <w:rPr>
          <w:color w:val="000000"/>
        </w:rPr>
        <w:t>-fructose was used a common internal standard.  Concentrations of the analytes were calculated by interpolating the calibration curves of individual compounds with their analyte-to-internal standard peak area ratios measured from injection of the sample solutions.</w:t>
      </w:r>
    </w:p>
    <w:p w14:paraId="4E6F16C9" w14:textId="7E150FB0" w:rsidR="00742609" w:rsidRDefault="00742609" w:rsidP="00742609">
      <w:pPr>
        <w:shd w:val="clear" w:color="auto" w:fill="FFFFFF"/>
        <w:rPr>
          <w:color w:val="1F497D"/>
          <w:sz w:val="22"/>
          <w:szCs w:val="22"/>
        </w:rPr>
      </w:pPr>
      <w:r w:rsidRPr="006D2FAE">
        <w:rPr>
          <w:color w:val="1F497D"/>
          <w:sz w:val="22"/>
          <w:szCs w:val="22"/>
        </w:rPr>
        <w:t> </w:t>
      </w:r>
    </w:p>
    <w:p w14:paraId="0907BBC4" w14:textId="2C6646DF" w:rsidR="00742609" w:rsidRPr="00742609" w:rsidRDefault="00742609" w:rsidP="00742609">
      <w:pPr>
        <w:shd w:val="clear" w:color="auto" w:fill="FFFFFF"/>
        <w:rPr>
          <w:i/>
          <w:iCs/>
          <w:color w:val="222222"/>
        </w:rPr>
      </w:pPr>
      <w:r>
        <w:rPr>
          <w:i/>
          <w:iCs/>
          <w:color w:val="1F497D"/>
          <w:sz w:val="22"/>
          <w:szCs w:val="22"/>
        </w:rPr>
        <w:t>Short chain fatty acid analysis</w:t>
      </w:r>
    </w:p>
    <w:p w14:paraId="16C9F776" w14:textId="77777777" w:rsidR="00742609" w:rsidRDefault="00742609" w:rsidP="00742609">
      <w:pPr>
        <w:ind w:firstLine="720"/>
        <w:rPr>
          <w:color w:val="212121"/>
          <w:shd w:val="clear" w:color="auto" w:fill="FFFFFF"/>
        </w:rPr>
      </w:pPr>
      <w:r>
        <w:rPr>
          <w:color w:val="212121"/>
          <w:shd w:val="clear" w:color="auto" w:fill="FFFFFF"/>
        </w:rPr>
        <w:t>Quantification of short-chain fatty acids was performed in-house according to a method developed by Han et al., with minor modifications</w:t>
      </w:r>
      <w:r>
        <w:rPr>
          <w:color w:val="212121"/>
          <w:shd w:val="clear" w:color="auto" w:fill="FFFFFF"/>
        </w:rPr>
        <w:fldChar w:fldCharType="begin"/>
      </w:r>
      <w:r>
        <w:rPr>
          <w:color w:val="212121"/>
          <w:shd w:val="clear" w:color="auto" w:fill="FFFFFF"/>
        </w:rPr>
        <w:instrText xml:space="preserve"> ADDIN ZOTERO_ITEM CSL_CITATION {"citationID":"OiGSL4ez","properties":{"formattedCitation":"(46)","plainCitation":"(46)","noteIndex":0},"citationItems":[{"id":1160,"uris":["http://zotero.org/users/4134801/items/SLFL9A4Z"],"uri":["http://zotero.org/users/4134801/items/SLFL9A4Z"],"itemData":{"id":1160,"type":"article-journal","abstract":"Short-chain fatty acids (SCFAs) are produced by anaerobic gut microbiota in the large bowel. Qualitative and quantitative measurements of SCFAs in the intestinal tract and the fecal samples are important to understand the complex interplay between diet, gut microbiota and host metabolism homeostasis. To develop a new LC-MS/MS method for sensitive and reliable analysis of SCFAs in human fecal samples, 3-nitrophenylhydrazine (3NPH) was employed for pre-analytical derivatization to convert ten C2–C6 SCFAs to their 3-nitrophenylhydrazones under a single set of optimized reaction conditions and without the need of reaction quenching. The derivatives showed excellent in-solution chemical stability. They were separated on a reversed-phase C18 column and quantitated by negative-ion electrospray ionization – multiple-reaction monitoring (MRM)/MS. To achieve accurate quantitation, the stable isotope-labeled versions of the derivatives were synthesized in a single reaction vessel from 13C6-3NPH, and were used as internal standard to compensate for the matrix effects in ESI. Method validation showed on-column limits of detection and quantitation over the range from low to high femtomoles for the ten SCFAs, and the intra-day and inter-day precision for determination of nine of the ten SCFAs in human fecal samples was ≤8.8% (n=6). The quantitation accuracy ranged from 93.1% to 108.4% (CVs≤4.6%, n=6). This method was used to determine the SCFA concentrations and compositions in six human fecal samples. One of the six samples, which was collected from a clinically diagnosed type 2 diabetes patient showed a significantly high molar ratio of branch-chain SCFAs to straight-chain SCFAs than the others. In summary, this work provides a new LC-MS/MS method for precise and accurate quantitation of SCFAs in human feces.","container-title":"Analytica Chimica Acta","DOI":"10.1016/j.aca.2014.11.015","ISSN":"0003-2670","journalAbbreviation":"Analytica Chimica Acta","language":"en","page":"86-94","source":"ScienceDirect","title":"An isotope-labeled chemical derivatization method for the quantitation of short-chain fatty acids in human feces by liquid chromatography–tandem mass spectrometry","volume":"854","author":[{"family":"Han","given":"Jun"},{"family":"Lin","given":"Karen"},{"family":"Sequeira","given":"Carita"},{"family":"Borchers","given":"Christoph H."}],"issued":{"date-parts":[["2015",1,7]]}}}],"schema":"https://github.com/citation-style-language/schema/raw/master/csl-citation.json"} </w:instrText>
      </w:r>
      <w:r>
        <w:rPr>
          <w:color w:val="212121"/>
          <w:shd w:val="clear" w:color="auto" w:fill="FFFFFF"/>
        </w:rPr>
        <w:fldChar w:fldCharType="separate"/>
      </w:r>
      <w:r>
        <w:rPr>
          <w:noProof/>
          <w:color w:val="212121"/>
          <w:shd w:val="clear" w:color="auto" w:fill="FFFFFF"/>
        </w:rPr>
        <w:t>(46)</w:t>
      </w:r>
      <w:r>
        <w:rPr>
          <w:color w:val="212121"/>
          <w:shd w:val="clear" w:color="auto" w:fill="FFFFFF"/>
        </w:rPr>
        <w:fldChar w:fldCharType="end"/>
      </w:r>
      <w:r>
        <w:rPr>
          <w:color w:val="212121"/>
          <w:shd w:val="clear" w:color="auto" w:fill="FFFFFF"/>
        </w:rPr>
        <w:t xml:space="preserve">.  Briefly, 500 µL of supernatant were mixed with 500 µL of 50 % acetonitrile, then the mixture was vortexed for 5 minutes and centrifuged at 7000 x g for 5 minutes. 50 µL of the organic phase were derivatized adding 20 µL of 200 mM 3NPH in 50 % acetonitrile and 20 µL 120 mM EDC solution of 6 % pyridine in 50 % acetonitrile. The mixture was left under agitation at 40 ºC for 30 minutes. After this time reaction was stopped adding 100 µL of 0.1 % formic acid in 90 % acetonitrile. All samples were injected in the mass spectrometer right after being processed. An LC-MS/MS system that was equipped with an Agilent Technologies </w:t>
      </w:r>
      <w:r>
        <w:t>1200 high performance liquid chromatography (HPLC)</w:t>
      </w:r>
      <w:r>
        <w:rPr>
          <w:color w:val="212121"/>
          <w:shd w:val="clear" w:color="auto" w:fill="FFFFFF"/>
        </w:rPr>
        <w:t xml:space="preserve"> instrument, an </w:t>
      </w:r>
      <w:r w:rsidRPr="00C36A1C">
        <w:rPr>
          <w:color w:val="212121"/>
          <w:shd w:val="clear" w:color="auto" w:fill="FFFFFF"/>
        </w:rPr>
        <w:t>Agilent 6460 triple quadrupole (QQQ) mass spectrometer</w:t>
      </w:r>
      <w:r>
        <w:rPr>
          <w:color w:val="212121"/>
          <w:shd w:val="clear" w:color="auto" w:fill="FFFFFF"/>
        </w:rPr>
        <w:t xml:space="preserve">, and a reversed-phase column </w:t>
      </w:r>
      <w:proofErr w:type="spellStart"/>
      <w:r>
        <w:rPr>
          <w:color w:val="212121"/>
          <w:shd w:val="clear" w:color="auto" w:fill="FFFFFF"/>
        </w:rPr>
        <w:t>Zorbax</w:t>
      </w:r>
      <w:proofErr w:type="spellEnd"/>
      <w:r>
        <w:rPr>
          <w:color w:val="212121"/>
          <w:shd w:val="clear" w:color="auto" w:fill="FFFFFF"/>
        </w:rPr>
        <w:t xml:space="preserve"> 300</w:t>
      </w:r>
      <w:r>
        <w:t xml:space="preserve"> C18 250 × 4.6 mm</w:t>
      </w:r>
      <w:r>
        <w:rPr>
          <w:color w:val="212121"/>
          <w:shd w:val="clear" w:color="auto" w:fill="FFFFFF"/>
        </w:rPr>
        <w:t xml:space="preserve"> (</w:t>
      </w:r>
      <w:r w:rsidRPr="00C47B58">
        <w:rPr>
          <w:shd w:val="clear" w:color="auto" w:fill="FFFFFF"/>
        </w:rPr>
        <w:t xml:space="preserve">Agilent Technologies) </w:t>
      </w:r>
      <w:r>
        <w:rPr>
          <w:color w:val="212121"/>
          <w:shd w:val="clear" w:color="auto" w:fill="FFFFFF"/>
        </w:rPr>
        <w:t xml:space="preserve">was employed. MS was conducted in positive ion mode with an electrospray ionization voltage of 3500 V, while using </w:t>
      </w:r>
      <w:r w:rsidRPr="00C47B58">
        <w:rPr>
          <w:shd w:val="clear" w:color="auto" w:fill="FFFFFF"/>
        </w:rPr>
        <w:t>50 p</w:t>
      </w:r>
      <w:r>
        <w:rPr>
          <w:color w:val="212121"/>
          <w:shd w:val="clear" w:color="auto" w:fill="FFFFFF"/>
        </w:rPr>
        <w:t xml:space="preserve">si nebulizer gas at a temperature of </w:t>
      </w:r>
      <w:r w:rsidRPr="00C47B58">
        <w:rPr>
          <w:shd w:val="clear" w:color="auto" w:fill="FFFFFF"/>
        </w:rPr>
        <w:t>350º</w:t>
      </w:r>
      <w:r>
        <w:rPr>
          <w:color w:val="212121"/>
          <w:shd w:val="clear" w:color="auto" w:fill="FFFFFF"/>
        </w:rPr>
        <w:t xml:space="preserve">C. The sample injection volume was 5 µL. LC separation was performed while using mobile phase A </w:t>
      </w:r>
      <w:r w:rsidRPr="00C47B58">
        <w:rPr>
          <w:shd w:val="clear" w:color="auto" w:fill="FFFFFF"/>
        </w:rPr>
        <w:t>(0.1 % formic acid in 3 % acetonitrile 97% water</w:t>
      </w:r>
      <w:r>
        <w:rPr>
          <w:color w:val="212121"/>
          <w:shd w:val="clear" w:color="auto" w:fill="FFFFFF"/>
        </w:rPr>
        <w:t>) and mobile phase B (</w:t>
      </w:r>
      <w:r w:rsidRPr="00C47B58">
        <w:rPr>
          <w:shd w:val="clear" w:color="auto" w:fill="FFFFFF"/>
        </w:rPr>
        <w:t>0.1 % formic acid in 90 % acetonitrile</w:t>
      </w:r>
      <w:r>
        <w:rPr>
          <w:color w:val="212121"/>
          <w:shd w:val="clear" w:color="auto" w:fill="FFFFFF"/>
        </w:rPr>
        <w:t xml:space="preserve">), at a flow rate of </w:t>
      </w:r>
      <w:r w:rsidRPr="00C47B58">
        <w:rPr>
          <w:shd w:val="clear" w:color="auto" w:fill="FFFFFF"/>
        </w:rPr>
        <w:t xml:space="preserve">650 </w:t>
      </w:r>
      <w:proofErr w:type="spellStart"/>
      <w:r w:rsidRPr="00C47B58">
        <w:rPr>
          <w:shd w:val="clear" w:color="auto" w:fill="FFFFFF"/>
        </w:rPr>
        <w:t>uL</w:t>
      </w:r>
      <w:proofErr w:type="spellEnd"/>
      <w:r w:rsidRPr="00C47B58">
        <w:rPr>
          <w:shd w:val="clear" w:color="auto" w:fill="FFFFFF"/>
        </w:rPr>
        <w:t>/min</w:t>
      </w:r>
      <w:r>
        <w:rPr>
          <w:color w:val="212121"/>
          <w:shd w:val="clear" w:color="auto" w:fill="FFFFFF"/>
        </w:rPr>
        <w:t xml:space="preserve">. The separation gradient was as follows: 20% B for 3 min., 20 to 30 % B in 1 min. 30 to 40% B in 7 min., 40 to 50 % in 2 min., 50 to 100 % in 2 min., 100% for 1 min., 100 to 20 in 1 min., and 20 % for 2 min. A collision </w:t>
      </w:r>
      <w:r w:rsidRPr="000B07BD">
        <w:rPr>
          <w:shd w:val="clear" w:color="auto" w:fill="FFFFFF"/>
        </w:rPr>
        <w:t xml:space="preserve">energy of 10V was </w:t>
      </w:r>
      <w:r>
        <w:rPr>
          <w:color w:val="212121"/>
          <w:shd w:val="clear" w:color="auto" w:fill="FFFFFF"/>
        </w:rPr>
        <w:t xml:space="preserve">used for multiple reaction monitoring </w:t>
      </w:r>
      <w:r>
        <w:rPr>
          <w:color w:val="212121"/>
          <w:shd w:val="clear" w:color="auto" w:fill="FFFFFF"/>
        </w:rPr>
        <w:lastRenderedPageBreak/>
        <w:t xml:space="preserve">(MRM), and LC-MS/MS data were </w:t>
      </w:r>
      <w:proofErr w:type="spellStart"/>
      <w:r>
        <w:rPr>
          <w:color w:val="212121"/>
          <w:shd w:val="clear" w:color="auto" w:fill="FFFFFF"/>
        </w:rPr>
        <w:t>analysed</w:t>
      </w:r>
      <w:proofErr w:type="spellEnd"/>
      <w:r>
        <w:rPr>
          <w:color w:val="212121"/>
          <w:shd w:val="clear" w:color="auto" w:fill="FFFFFF"/>
        </w:rPr>
        <w:t xml:space="preserve"> by Mass Hunter </w:t>
      </w:r>
      <w:r w:rsidRPr="007C3EE5">
        <w:rPr>
          <w:color w:val="212121"/>
          <w:shd w:val="clear" w:color="auto" w:fill="FFFFFF"/>
        </w:rPr>
        <w:t xml:space="preserve">Qualitative Analysis B.06.00 </w:t>
      </w:r>
      <w:r>
        <w:rPr>
          <w:color w:val="212121"/>
          <w:shd w:val="clear" w:color="auto" w:fill="FFFFFF"/>
        </w:rPr>
        <w:t xml:space="preserve">software </w:t>
      </w:r>
      <w:r w:rsidRPr="007C3EE5">
        <w:rPr>
          <w:color w:val="212121"/>
          <w:shd w:val="clear" w:color="auto" w:fill="FFFFFF"/>
        </w:rPr>
        <w:t>(Agilent Technologies)</w:t>
      </w:r>
      <w:r>
        <w:rPr>
          <w:color w:val="212121"/>
          <w:shd w:val="clear" w:color="auto" w:fill="FFFFFF"/>
        </w:rPr>
        <w:t>.</w:t>
      </w:r>
    </w:p>
    <w:p w14:paraId="5D27268F" w14:textId="77777777" w:rsidR="00742609" w:rsidRDefault="00742609" w:rsidP="00742609">
      <w:pPr>
        <w:rPr>
          <w:color w:val="212121"/>
          <w:shd w:val="clear" w:color="auto" w:fill="FFFFFF"/>
        </w:rPr>
      </w:pPr>
    </w:p>
    <w:p w14:paraId="41FF1ABC" w14:textId="77777777" w:rsidR="00742609" w:rsidRDefault="00742609" w:rsidP="00742609">
      <w:pPr>
        <w:rPr>
          <w:color w:val="212121"/>
          <w:shd w:val="clear" w:color="auto" w:fill="FFFFFF"/>
        </w:rPr>
      </w:pPr>
    </w:p>
    <w:p w14:paraId="1D2174FC" w14:textId="77777777" w:rsidR="00742609" w:rsidRDefault="00742609"/>
    <w:sectPr w:rsidR="0074260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4C4CF5"/>
    <w:multiLevelType w:val="multilevel"/>
    <w:tmpl w:val="0BD8E0B0"/>
    <w:lvl w:ilvl="0">
      <w:start w:val="1"/>
      <w:numFmt w:val="none"/>
      <w:pStyle w:val="Heading1"/>
      <w:suff w:val="nothing"/>
      <w:lvlText w:val=""/>
      <w:lvlJc w:val="left"/>
      <w:pPr>
        <w:ind w:left="0" w:firstLine="0"/>
      </w:pPr>
      <w:rPr>
        <w:rFonts w:hint="default"/>
      </w:rPr>
    </w:lvl>
    <w:lvl w:ilvl="1">
      <w:start w:val="1"/>
      <w:numFmt w:val="decimal"/>
      <w:lvlRestart w:val="0"/>
      <w:pStyle w:val="Heading2"/>
      <w:suff w:val="space"/>
      <w:lvlText w:val="Chapter %2:"/>
      <w:lvlJc w:val="left"/>
      <w:pPr>
        <w:ind w:left="2551" w:firstLine="0"/>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2.%3"/>
      <w:lvlJc w:val="left"/>
      <w:pPr>
        <w:tabs>
          <w:tab w:val="num" w:pos="576"/>
        </w:tabs>
        <w:ind w:left="0" w:firstLine="0"/>
      </w:pPr>
      <w:rPr>
        <w:rFonts w:hint="default"/>
      </w:rPr>
    </w:lvl>
    <w:lvl w:ilvl="3">
      <w:start w:val="1"/>
      <w:numFmt w:val="decimal"/>
      <w:pStyle w:val="Heading4"/>
      <w:lvlText w:val="%2.%3.%4"/>
      <w:lvlJc w:val="left"/>
      <w:pPr>
        <w:tabs>
          <w:tab w:val="num" w:pos="1926"/>
        </w:tabs>
        <w:ind w:left="1134" w:firstLine="0"/>
      </w:pPr>
      <w:rPr>
        <w:rFonts w:hint="default"/>
        <w:b w:val="0"/>
        <w:bCs w:val="0"/>
        <w:i w:val="0"/>
        <w:iCs w:val="0"/>
      </w:rPr>
    </w:lvl>
    <w:lvl w:ilvl="4">
      <w:start w:val="1"/>
      <w:numFmt w:val="decimal"/>
      <w:pStyle w:val="Heading5"/>
      <w:lvlText w:val="%2.%3.%4.%5"/>
      <w:lvlJc w:val="left"/>
      <w:pPr>
        <w:tabs>
          <w:tab w:val="num" w:pos="1008"/>
        </w:tabs>
        <w:ind w:left="0" w:firstLine="0"/>
      </w:pPr>
      <w:rPr>
        <w:rFonts w:hint="default"/>
      </w:rPr>
    </w:lvl>
    <w:lvl w:ilvl="5">
      <w:start w:val="1"/>
      <w:numFmt w:val="decimal"/>
      <w:pStyle w:val="Heading6"/>
      <w:lvlText w:val="%2.%3.%4.%5.%6"/>
      <w:lvlJc w:val="left"/>
      <w:pPr>
        <w:tabs>
          <w:tab w:val="num" w:pos="1224"/>
        </w:tabs>
        <w:ind w:left="0" w:firstLine="0"/>
      </w:pPr>
      <w:rPr>
        <w:rFonts w:hint="default"/>
      </w:rPr>
    </w:lvl>
    <w:lvl w:ilvl="6">
      <w:start w:val="1"/>
      <w:numFmt w:val="upperLetter"/>
      <w:lvlRestart w:val="0"/>
      <w:pStyle w:val="Heading7"/>
      <w:suff w:val="nothing"/>
      <w:lvlText w:val="Appendix %7  "/>
      <w:lvlJc w:val="left"/>
      <w:pPr>
        <w:ind w:left="0" w:firstLine="0"/>
      </w:pPr>
      <w:rPr>
        <w:rFonts w:hint="default"/>
      </w:rPr>
    </w:lvl>
    <w:lvl w:ilvl="7">
      <w:start w:val="1"/>
      <w:numFmt w:val="decimal"/>
      <w:pStyle w:val="Heading8"/>
      <w:lvlText w:val="%7.%8"/>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609"/>
    <w:rsid w:val="0074260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A84695E"/>
  <w15:chartTrackingRefBased/>
  <w15:docId w15:val="{37AAFAE4-9585-DE4E-BB32-71D091E06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609"/>
    <w:pPr>
      <w:spacing w:line="480" w:lineRule="auto"/>
    </w:pPr>
    <w:rPr>
      <w:rFonts w:ascii="Times New Roman" w:eastAsia="Cambria" w:hAnsi="Times New Roman" w:cs="Times New Roman"/>
      <w:lang w:val="en-US"/>
    </w:rPr>
  </w:style>
  <w:style w:type="paragraph" w:styleId="Heading1">
    <w:name w:val="heading 1"/>
    <w:basedOn w:val="Normal"/>
    <w:next w:val="Normal"/>
    <w:link w:val="Heading1Char"/>
    <w:uiPriority w:val="1"/>
    <w:qFormat/>
    <w:rsid w:val="00742609"/>
    <w:pPr>
      <w:keepLines/>
      <w:pageBreakBefore/>
      <w:numPr>
        <w:numId w:val="1"/>
      </w:numPr>
      <w:outlineLvl w:val="0"/>
    </w:pPr>
    <w:rPr>
      <w:rFonts w:eastAsia="SimSun"/>
      <w:b/>
      <w:bCs/>
      <w:sz w:val="28"/>
      <w:szCs w:val="32"/>
    </w:rPr>
  </w:style>
  <w:style w:type="paragraph" w:styleId="Heading2">
    <w:name w:val="heading 2"/>
    <w:basedOn w:val="Normal"/>
    <w:next w:val="Normal"/>
    <w:link w:val="Heading2Char"/>
    <w:uiPriority w:val="1"/>
    <w:qFormat/>
    <w:rsid w:val="00742609"/>
    <w:pPr>
      <w:keepLines/>
      <w:pageBreakBefore/>
      <w:numPr>
        <w:ilvl w:val="1"/>
        <w:numId w:val="1"/>
      </w:numPr>
      <w:outlineLvl w:val="1"/>
    </w:pPr>
    <w:rPr>
      <w:rFonts w:eastAsia="SimSun"/>
      <w:b/>
      <w:bCs/>
      <w:sz w:val="28"/>
      <w:szCs w:val="26"/>
    </w:rPr>
  </w:style>
  <w:style w:type="paragraph" w:styleId="Heading3">
    <w:name w:val="heading 3"/>
    <w:basedOn w:val="Normal"/>
    <w:next w:val="Normal"/>
    <w:link w:val="Heading3Char"/>
    <w:uiPriority w:val="1"/>
    <w:qFormat/>
    <w:rsid w:val="00742609"/>
    <w:pPr>
      <w:keepNext/>
      <w:numPr>
        <w:ilvl w:val="2"/>
        <w:numId w:val="1"/>
      </w:numPr>
      <w:outlineLvl w:val="2"/>
    </w:pPr>
    <w:rPr>
      <w:rFonts w:eastAsia="SimSun"/>
      <w:b/>
      <w:bCs/>
    </w:rPr>
  </w:style>
  <w:style w:type="paragraph" w:styleId="Heading4">
    <w:name w:val="heading 4"/>
    <w:basedOn w:val="Normal"/>
    <w:next w:val="Normal"/>
    <w:link w:val="Heading4Char"/>
    <w:uiPriority w:val="1"/>
    <w:qFormat/>
    <w:rsid w:val="00742609"/>
    <w:pPr>
      <w:keepNext/>
      <w:numPr>
        <w:ilvl w:val="3"/>
        <w:numId w:val="1"/>
      </w:numPr>
      <w:tabs>
        <w:tab w:val="clear" w:pos="1926"/>
        <w:tab w:val="num" w:pos="792"/>
      </w:tabs>
      <w:ind w:left="0"/>
      <w:outlineLvl w:val="3"/>
    </w:pPr>
    <w:rPr>
      <w:rFonts w:eastAsia="SimSun"/>
      <w:b/>
      <w:bCs/>
      <w:iCs/>
    </w:rPr>
  </w:style>
  <w:style w:type="paragraph" w:styleId="Heading5">
    <w:name w:val="heading 5"/>
    <w:basedOn w:val="Normal"/>
    <w:next w:val="Normal"/>
    <w:link w:val="Heading5Char"/>
    <w:uiPriority w:val="1"/>
    <w:qFormat/>
    <w:rsid w:val="00742609"/>
    <w:pPr>
      <w:keepNext/>
      <w:numPr>
        <w:ilvl w:val="4"/>
        <w:numId w:val="1"/>
      </w:numPr>
      <w:outlineLvl w:val="4"/>
    </w:pPr>
    <w:rPr>
      <w:rFonts w:eastAsia="Times New Roman"/>
      <w:b/>
      <w:bCs/>
      <w:iCs/>
      <w:szCs w:val="26"/>
    </w:rPr>
  </w:style>
  <w:style w:type="paragraph" w:styleId="Heading6">
    <w:name w:val="heading 6"/>
    <w:basedOn w:val="Normal"/>
    <w:next w:val="Normal"/>
    <w:link w:val="Heading6Char"/>
    <w:uiPriority w:val="1"/>
    <w:qFormat/>
    <w:rsid w:val="00742609"/>
    <w:pPr>
      <w:numPr>
        <w:ilvl w:val="5"/>
        <w:numId w:val="1"/>
      </w:numPr>
      <w:outlineLvl w:val="5"/>
    </w:pPr>
    <w:rPr>
      <w:rFonts w:eastAsia="Times New Roman"/>
      <w:b/>
      <w:bCs/>
      <w:szCs w:val="22"/>
    </w:rPr>
  </w:style>
  <w:style w:type="paragraph" w:styleId="Heading7">
    <w:name w:val="heading 7"/>
    <w:basedOn w:val="Normal"/>
    <w:next w:val="Normal"/>
    <w:link w:val="Heading7Char"/>
    <w:uiPriority w:val="1"/>
    <w:qFormat/>
    <w:rsid w:val="00742609"/>
    <w:pPr>
      <w:numPr>
        <w:ilvl w:val="6"/>
        <w:numId w:val="1"/>
      </w:numPr>
      <w:outlineLvl w:val="6"/>
    </w:pPr>
    <w:rPr>
      <w:rFonts w:eastAsia="Times New Roman"/>
      <w:b/>
    </w:rPr>
  </w:style>
  <w:style w:type="paragraph" w:styleId="Heading8">
    <w:name w:val="heading 8"/>
    <w:basedOn w:val="Normal"/>
    <w:next w:val="Normal"/>
    <w:link w:val="Heading8Char"/>
    <w:uiPriority w:val="1"/>
    <w:qFormat/>
    <w:rsid w:val="00742609"/>
    <w:pPr>
      <w:keepNext/>
      <w:numPr>
        <w:ilvl w:val="7"/>
        <w:numId w:val="1"/>
      </w:numPr>
      <w:outlineLvl w:val="7"/>
    </w:pPr>
    <w:rPr>
      <w:rFonts w:eastAsia="Times New Roman"/>
      <w:b/>
      <w:iCs/>
    </w:rPr>
  </w:style>
  <w:style w:type="paragraph" w:styleId="Heading9">
    <w:name w:val="heading 9"/>
    <w:basedOn w:val="Normal"/>
    <w:next w:val="Normal"/>
    <w:link w:val="Heading9Char"/>
    <w:uiPriority w:val="1"/>
    <w:qFormat/>
    <w:rsid w:val="00742609"/>
    <w:pPr>
      <w:numPr>
        <w:ilvl w:val="8"/>
        <w:numId w:val="1"/>
      </w:numPr>
      <w:spacing w:before="240" w:after="60"/>
      <w:outlineLvl w:val="8"/>
    </w:pPr>
    <w:rPr>
      <w:rFonts w:ascii="Calibri" w:eastAsia="Times New Roman"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42609"/>
    <w:rPr>
      <w:rFonts w:ascii="Times New Roman" w:eastAsia="SimSun" w:hAnsi="Times New Roman" w:cs="Times New Roman"/>
      <w:b/>
      <w:bCs/>
      <w:sz w:val="28"/>
      <w:szCs w:val="32"/>
      <w:lang w:val="en-US"/>
    </w:rPr>
  </w:style>
  <w:style w:type="character" w:customStyle="1" w:styleId="Heading2Char">
    <w:name w:val="Heading 2 Char"/>
    <w:basedOn w:val="DefaultParagraphFont"/>
    <w:link w:val="Heading2"/>
    <w:uiPriority w:val="1"/>
    <w:rsid w:val="00742609"/>
    <w:rPr>
      <w:rFonts w:ascii="Times New Roman" w:eastAsia="SimSun" w:hAnsi="Times New Roman" w:cs="Times New Roman"/>
      <w:b/>
      <w:bCs/>
      <w:sz w:val="28"/>
      <w:szCs w:val="26"/>
      <w:lang w:val="en-US"/>
    </w:rPr>
  </w:style>
  <w:style w:type="character" w:customStyle="1" w:styleId="Heading3Char">
    <w:name w:val="Heading 3 Char"/>
    <w:basedOn w:val="DefaultParagraphFont"/>
    <w:link w:val="Heading3"/>
    <w:uiPriority w:val="1"/>
    <w:rsid w:val="00742609"/>
    <w:rPr>
      <w:rFonts w:ascii="Times New Roman" w:eastAsia="SimSun" w:hAnsi="Times New Roman" w:cs="Times New Roman"/>
      <w:b/>
      <w:bCs/>
      <w:lang w:val="en-US"/>
    </w:rPr>
  </w:style>
  <w:style w:type="character" w:customStyle="1" w:styleId="Heading4Char">
    <w:name w:val="Heading 4 Char"/>
    <w:basedOn w:val="DefaultParagraphFont"/>
    <w:link w:val="Heading4"/>
    <w:uiPriority w:val="1"/>
    <w:rsid w:val="00742609"/>
    <w:rPr>
      <w:rFonts w:ascii="Times New Roman" w:eastAsia="SimSun" w:hAnsi="Times New Roman" w:cs="Times New Roman"/>
      <w:b/>
      <w:bCs/>
      <w:iCs/>
      <w:lang w:val="en-US"/>
    </w:rPr>
  </w:style>
  <w:style w:type="character" w:customStyle="1" w:styleId="Heading5Char">
    <w:name w:val="Heading 5 Char"/>
    <w:basedOn w:val="DefaultParagraphFont"/>
    <w:link w:val="Heading5"/>
    <w:uiPriority w:val="1"/>
    <w:rsid w:val="00742609"/>
    <w:rPr>
      <w:rFonts w:ascii="Times New Roman" w:eastAsia="Times New Roman" w:hAnsi="Times New Roman" w:cs="Times New Roman"/>
      <w:b/>
      <w:bCs/>
      <w:iCs/>
      <w:szCs w:val="26"/>
      <w:lang w:val="en-US"/>
    </w:rPr>
  </w:style>
  <w:style w:type="character" w:customStyle="1" w:styleId="Heading6Char">
    <w:name w:val="Heading 6 Char"/>
    <w:basedOn w:val="DefaultParagraphFont"/>
    <w:link w:val="Heading6"/>
    <w:uiPriority w:val="1"/>
    <w:rsid w:val="00742609"/>
    <w:rPr>
      <w:rFonts w:ascii="Times New Roman" w:eastAsia="Times New Roman" w:hAnsi="Times New Roman" w:cs="Times New Roman"/>
      <w:b/>
      <w:bCs/>
      <w:szCs w:val="22"/>
      <w:lang w:val="en-US"/>
    </w:rPr>
  </w:style>
  <w:style w:type="character" w:customStyle="1" w:styleId="Heading7Char">
    <w:name w:val="Heading 7 Char"/>
    <w:basedOn w:val="DefaultParagraphFont"/>
    <w:link w:val="Heading7"/>
    <w:uiPriority w:val="1"/>
    <w:rsid w:val="00742609"/>
    <w:rPr>
      <w:rFonts w:ascii="Times New Roman" w:eastAsia="Times New Roman" w:hAnsi="Times New Roman" w:cs="Times New Roman"/>
      <w:b/>
      <w:lang w:val="en-US"/>
    </w:rPr>
  </w:style>
  <w:style w:type="character" w:customStyle="1" w:styleId="Heading8Char">
    <w:name w:val="Heading 8 Char"/>
    <w:basedOn w:val="DefaultParagraphFont"/>
    <w:link w:val="Heading8"/>
    <w:uiPriority w:val="1"/>
    <w:rsid w:val="00742609"/>
    <w:rPr>
      <w:rFonts w:ascii="Times New Roman" w:eastAsia="Times New Roman" w:hAnsi="Times New Roman" w:cs="Times New Roman"/>
      <w:b/>
      <w:iCs/>
      <w:lang w:val="en-US"/>
    </w:rPr>
  </w:style>
  <w:style w:type="character" w:customStyle="1" w:styleId="Heading9Char">
    <w:name w:val="Heading 9 Char"/>
    <w:basedOn w:val="DefaultParagraphFont"/>
    <w:link w:val="Heading9"/>
    <w:uiPriority w:val="1"/>
    <w:rsid w:val="00742609"/>
    <w:rPr>
      <w:rFonts w:ascii="Calibri" w:eastAsia="Times New Roman" w:hAnsi="Calibri" w:cs="Times New Roman"/>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1208</Words>
  <Characters>6891</Characters>
  <Application>Microsoft Office Word</Application>
  <DocSecurity>0</DocSecurity>
  <Lines>57</Lines>
  <Paragraphs>16</Paragraphs>
  <ScaleCrop>false</ScaleCrop>
  <Company/>
  <LinksUpToDate>false</LinksUpToDate>
  <CharactersWithSpaces>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2021-07-11T13:36:00Z</dcterms:created>
  <dcterms:modified xsi:type="dcterms:W3CDTF">2021-07-11T13:38:00Z</dcterms:modified>
</cp:coreProperties>
</file>