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02F234" w14:textId="77777777" w:rsidR="00F77066" w:rsidRDefault="00AC2A57" w:rsidP="00AC2A57">
      <w:pPr>
        <w:rPr>
          <w:b/>
          <w:bCs/>
        </w:rPr>
      </w:pPr>
      <w:r w:rsidRPr="00184327">
        <w:rPr>
          <w:b/>
          <w:bCs/>
        </w:rPr>
        <w:t>Methods</w:t>
      </w:r>
      <w:r w:rsidR="00F77066">
        <w:rPr>
          <w:b/>
          <w:bCs/>
        </w:rPr>
        <w:t>.</w:t>
      </w:r>
    </w:p>
    <w:p w14:paraId="17A6357A" w14:textId="77777777" w:rsidR="00F77066" w:rsidRDefault="00F77066" w:rsidP="00AC2A57"/>
    <w:p w14:paraId="7AE3AD0F" w14:textId="0B731E6D" w:rsidR="00A61303" w:rsidRDefault="00855A21" w:rsidP="00AC2A57">
      <w:r>
        <w:t>10 sections total explaining mouse care, experimental procedures, sample prep, sample processing, data analysis</w:t>
      </w:r>
      <w:r w:rsidR="00BF1A36">
        <w:t>, &amp; a readme for the data columns</w:t>
      </w:r>
      <w:r w:rsidR="00F77066">
        <w:t>.</w:t>
      </w:r>
    </w:p>
    <w:p w14:paraId="631DCF73" w14:textId="5A62E661" w:rsidR="00F77066" w:rsidRDefault="00F77066" w:rsidP="00AC2A57"/>
    <w:p w14:paraId="3C0B45D2" w14:textId="70511672" w:rsidR="00A61303" w:rsidRDefault="00A61303" w:rsidP="00AC2A57">
      <w:r>
        <w:t>Note: I uploaded the same file for Treatment, Collection, Protocol, and Chromatography.</w:t>
      </w:r>
    </w:p>
    <w:p w14:paraId="56F76773" w14:textId="77777777" w:rsidR="00A61303" w:rsidRDefault="00A61303" w:rsidP="00AC2A57"/>
    <w:p w14:paraId="322E1E47" w14:textId="2603C86C" w:rsidR="00F77066" w:rsidRPr="00855A21" w:rsidRDefault="00F77066" w:rsidP="00AC2A57">
      <w:r>
        <w:t xml:space="preserve">Note that although some </w:t>
      </w:r>
      <w:r w:rsidR="00405A4B">
        <w:t xml:space="preserve">mouse </w:t>
      </w:r>
      <w:r>
        <w:t xml:space="preserve">parameters like body weight and temperature were tracked daily throughout </w:t>
      </w:r>
      <w:r w:rsidR="00B63363">
        <w:t>acute infection</w:t>
      </w:r>
      <w:r>
        <w:t>, the data uploaded to Metabolomics workbench include just baseline values (if applicable) and values on the day the mouse was sacrificed. Not all mice with metabolomics data have associated cytokine data, and some other data are missing.</w:t>
      </w:r>
      <w:r w:rsidR="00EE1DD5">
        <w:t xml:space="preserve"> You may contact the </w:t>
      </w:r>
      <w:r w:rsidR="00C8629A">
        <w:t>study lead Nicole Davis at ndavis1618@gmail.com with questions.</w:t>
      </w:r>
    </w:p>
    <w:p w14:paraId="2B6E6560" w14:textId="77777777" w:rsidR="00855A21" w:rsidRPr="00184327" w:rsidRDefault="00855A21" w:rsidP="00AC2A57">
      <w:pPr>
        <w:rPr>
          <w:b/>
          <w:bCs/>
        </w:rPr>
      </w:pPr>
    </w:p>
    <w:p w14:paraId="304A76C9" w14:textId="77777777" w:rsidR="00AC2A57" w:rsidRDefault="00AC2A57" w:rsidP="00AC2A57">
      <w:pPr>
        <w:pStyle w:val="ListParagraph"/>
        <w:numPr>
          <w:ilvl w:val="0"/>
          <w:numId w:val="1"/>
        </w:numPr>
      </w:pPr>
      <w:r w:rsidRPr="00275E65">
        <w:rPr>
          <w:b/>
          <w:bCs/>
        </w:rPr>
        <w:t>Parasite</w:t>
      </w:r>
      <w:r>
        <w:rPr>
          <w:b/>
          <w:bCs/>
        </w:rPr>
        <w:t>s</w:t>
      </w:r>
      <w:r w:rsidRPr="00275E65">
        <w:rPr>
          <w:b/>
          <w:bCs/>
        </w:rPr>
        <w:t>.</w:t>
      </w:r>
      <w:r>
        <w:t xml:space="preserve"> </w:t>
      </w:r>
      <w:r>
        <w:rPr>
          <w:i/>
          <w:iCs/>
        </w:rPr>
        <w:t xml:space="preserve">Plasmodium chabaudi </w:t>
      </w:r>
      <w:proofErr w:type="spellStart"/>
      <w:r>
        <w:rPr>
          <w:i/>
          <w:iCs/>
        </w:rPr>
        <w:t>chabaudi</w:t>
      </w:r>
      <w:proofErr w:type="spellEnd"/>
      <w:r>
        <w:rPr>
          <w:i/>
          <w:iCs/>
        </w:rPr>
        <w:t xml:space="preserve"> </w:t>
      </w:r>
      <w:r>
        <w:t>AJ (Malaria Research and Reference Resource Center [MR4]) was tested for contaminating pathogens prior to use.</w:t>
      </w:r>
    </w:p>
    <w:p w14:paraId="33BBC1A8" w14:textId="77777777" w:rsidR="00AC2A57" w:rsidRDefault="00AC2A57" w:rsidP="00AC2A57">
      <w:pPr>
        <w:pStyle w:val="ListParagraph"/>
      </w:pPr>
    </w:p>
    <w:p w14:paraId="45010C31" w14:textId="7409EE2F" w:rsidR="00AC2A57" w:rsidRDefault="00AC2A57" w:rsidP="00AC2A57">
      <w:pPr>
        <w:pStyle w:val="ListParagraph"/>
        <w:numPr>
          <w:ilvl w:val="0"/>
          <w:numId w:val="1"/>
        </w:numPr>
      </w:pPr>
      <w:r w:rsidRPr="00275E65">
        <w:rPr>
          <w:b/>
          <w:bCs/>
        </w:rPr>
        <w:t>Mice.</w:t>
      </w:r>
      <w:r>
        <w:t xml:space="preserve"> Wildtype mice were purchased from the Jackson Laboratory (Bar Harbor, ME, USA) (WSB/EiJ stock #001145), 129S1/SvImJ stock #002448, NZO/HILtJ stock #002105, CAST/EiJ stock #000928, A/J stock #000646, NOD/</w:t>
      </w:r>
      <w:r w:rsidRPr="000F77E4">
        <w:t xml:space="preserve"> </w:t>
      </w:r>
      <w:r>
        <w:t xml:space="preserve">ShiLtJ stock #001976, and PWK/PhJ stock #003715), and Diversity Outbred (stock #009376, Churchill </w:t>
      </w:r>
      <w:r>
        <w:rPr>
          <w:i/>
          <w:iCs/>
        </w:rPr>
        <w:t>et al.</w:t>
      </w:r>
      <w:r>
        <w:t xml:space="preserve"> 2012) Charles River (C57BL/6). A subset of expensive mice (WSB/EiJ, NZO/HILtJ, and PWK/PhJ) were also bred in-house. Animals were maintained specific-pathogen free (SPF) and housed in the Stanford Research Animal Facility according to Stanford University guidelines, accredited by the Association of Assessment and Accreditation of Laboratory Animal Care (AAALAC) International. All mouse experiments were approved by the Stanford Administrative Panel on Laboratory Care (APLAC).</w:t>
      </w:r>
    </w:p>
    <w:p w14:paraId="05D326E3" w14:textId="77777777" w:rsidR="00AC2A57" w:rsidRDefault="00AC2A57" w:rsidP="00AC2A57"/>
    <w:p w14:paraId="10877828" w14:textId="259F3F54" w:rsidR="00AC2A57" w:rsidRDefault="00AC2A57" w:rsidP="00AC2A57">
      <w:pPr>
        <w:pStyle w:val="ListParagraph"/>
        <w:numPr>
          <w:ilvl w:val="0"/>
          <w:numId w:val="1"/>
        </w:numPr>
      </w:pPr>
      <w:r>
        <w:rPr>
          <w:b/>
          <w:bCs/>
          <w:i/>
          <w:iCs/>
        </w:rPr>
        <w:t xml:space="preserve">P. chabaudi </w:t>
      </w:r>
      <w:r w:rsidRPr="00275E65">
        <w:rPr>
          <w:b/>
          <w:bCs/>
        </w:rPr>
        <w:t>Infection.</w:t>
      </w:r>
      <w:r>
        <w:rPr>
          <w:b/>
          <w:bCs/>
        </w:rPr>
        <w:t xml:space="preserve"> </w:t>
      </w:r>
      <w:r>
        <w:t>2 female C57BL/6 mice were given intraperitoneal (</w:t>
      </w:r>
      <w:proofErr w:type="spellStart"/>
      <w:r>
        <w:t>i.p.</w:t>
      </w:r>
      <w:proofErr w:type="spellEnd"/>
      <w:r>
        <w:t xml:space="preserve">) injections of 100uL frozen stock of </w:t>
      </w:r>
      <w:r>
        <w:rPr>
          <w:i/>
          <w:iCs/>
        </w:rPr>
        <w:t>P. chabaudi</w:t>
      </w:r>
      <w:r>
        <w:t>-infected red blood cells (</w:t>
      </w:r>
      <w:proofErr w:type="spellStart"/>
      <w:r>
        <w:t>iRBCs</w:t>
      </w:r>
      <w:proofErr w:type="spellEnd"/>
      <w:r>
        <w:t xml:space="preserve">). When parasitemia reached 10-20% at 8-10 days post-infection, mice were </w:t>
      </w:r>
      <w:proofErr w:type="gramStart"/>
      <w:r>
        <w:t>euthanized</w:t>
      </w:r>
      <w:proofErr w:type="gramEnd"/>
      <w:r>
        <w:t xml:space="preserve"> and blood obtained via cardiac puncture. Blood was diluted to 10</w:t>
      </w:r>
      <w:r>
        <w:rPr>
          <w:vertAlign w:val="superscript"/>
        </w:rPr>
        <w:t>5</w:t>
      </w:r>
      <w:r>
        <w:t xml:space="preserve"> </w:t>
      </w:r>
      <w:proofErr w:type="spellStart"/>
      <w:r>
        <w:t>iRBC</w:t>
      </w:r>
      <w:proofErr w:type="spellEnd"/>
      <w:r>
        <w:t xml:space="preserve"> / 100uL in </w:t>
      </w:r>
      <w:proofErr w:type="spellStart"/>
      <w:r>
        <w:t>Kreb’s</w:t>
      </w:r>
      <w:proofErr w:type="spellEnd"/>
      <w:r>
        <w:t xml:space="preserve"> saline with glucose (KSG) and administered </w:t>
      </w:r>
      <w:proofErr w:type="spellStart"/>
      <w:r>
        <w:t>i.p.</w:t>
      </w:r>
      <w:proofErr w:type="spellEnd"/>
      <w:r>
        <w:t xml:space="preserve"> to experimental animals at a dose of 10</w:t>
      </w:r>
      <w:r>
        <w:rPr>
          <w:vertAlign w:val="superscript"/>
        </w:rPr>
        <w:t>5</w:t>
      </w:r>
      <w:r>
        <w:t xml:space="preserve"> </w:t>
      </w:r>
      <w:proofErr w:type="spellStart"/>
      <w:r>
        <w:t>iRBCs</w:t>
      </w:r>
      <w:proofErr w:type="spellEnd"/>
      <w:r>
        <w:t xml:space="preserve">. </w:t>
      </w:r>
      <w:r w:rsidRPr="00AA2D38">
        <w:t>https://www.nature.com/articles/nprot.2011.313</w:t>
      </w:r>
      <w:r>
        <w:t xml:space="preserve"> Control animals received 100uL of vehicle </w:t>
      </w:r>
      <w:proofErr w:type="spellStart"/>
      <w:r>
        <w:t>i.p.</w:t>
      </w:r>
      <w:proofErr w:type="spellEnd"/>
      <w:r>
        <w:t xml:space="preserve"> Only female mice 8-12 weeks of age were used for </w:t>
      </w:r>
      <w:r>
        <w:rPr>
          <w:i/>
          <w:iCs/>
        </w:rPr>
        <w:t xml:space="preserve">P. chabaudi </w:t>
      </w:r>
      <w:r>
        <w:t xml:space="preserve">experiments. Experiments were performed in multiple cohorts. Parasitemia was quantified via thin blood smear, methanol fixation, </w:t>
      </w:r>
      <w:proofErr w:type="spellStart"/>
      <w:r>
        <w:t>KaryoMAX</w:t>
      </w:r>
      <w:proofErr w:type="spellEnd"/>
      <w:r>
        <w:t xml:space="preserve"> Giemsa (GIBCO) staining, and manual microscope counting at 100X magnification. RBCs were quantified using a BD </w:t>
      </w:r>
      <w:proofErr w:type="spellStart"/>
      <w:r>
        <w:t>Accuri</w:t>
      </w:r>
      <w:proofErr w:type="spellEnd"/>
      <w:r>
        <w:t xml:space="preserve"> C6 Plus cytometer (see Longitudinal Infection monitoring).</w:t>
      </w:r>
    </w:p>
    <w:p w14:paraId="694D2E30" w14:textId="77777777" w:rsidR="00AC2A57" w:rsidRDefault="00AC2A57" w:rsidP="00AC2A57">
      <w:pPr>
        <w:pStyle w:val="ListParagraph"/>
      </w:pPr>
    </w:p>
    <w:p w14:paraId="30E1D38F" w14:textId="020286A1" w:rsidR="00AC2A57" w:rsidRDefault="00AC2A57" w:rsidP="00AC2A57">
      <w:pPr>
        <w:pStyle w:val="ListParagraph"/>
        <w:numPr>
          <w:ilvl w:val="0"/>
          <w:numId w:val="1"/>
        </w:numPr>
      </w:pPr>
      <w:r w:rsidRPr="00175C1A">
        <w:rPr>
          <w:b/>
          <w:bCs/>
        </w:rPr>
        <w:t xml:space="preserve">Longitudinal </w:t>
      </w:r>
      <w:r>
        <w:rPr>
          <w:b/>
          <w:bCs/>
          <w:i/>
          <w:iCs/>
        </w:rPr>
        <w:t>P. chabaudi</w:t>
      </w:r>
      <w:r>
        <w:rPr>
          <w:b/>
          <w:bCs/>
        </w:rPr>
        <w:t xml:space="preserve"> </w:t>
      </w:r>
      <w:r w:rsidRPr="00175C1A">
        <w:rPr>
          <w:b/>
          <w:bCs/>
        </w:rPr>
        <w:t>monitoring.</w:t>
      </w:r>
      <w:r>
        <w:rPr>
          <w:b/>
          <w:bCs/>
        </w:rPr>
        <w:t xml:space="preserve"> </w:t>
      </w:r>
      <w:r w:rsidRPr="00064BA9">
        <w:t>Longitudinal monitoring was performed as described previously</w:t>
      </w:r>
      <w:r>
        <w:t xml:space="preserve"> (Torres </w:t>
      </w:r>
      <w:r>
        <w:rPr>
          <w:i/>
          <w:iCs/>
        </w:rPr>
        <w:t>et al.</w:t>
      </w:r>
      <w:r>
        <w:t xml:space="preserve"> 2016</w:t>
      </w:r>
      <w:r w:rsidR="00E741A7">
        <w:t>, PLOS Biol, “</w:t>
      </w:r>
      <w:r w:rsidR="00E741A7" w:rsidRPr="00E741A7">
        <w:t>Tracking Resilience to Infections by Mapping Disease Space</w:t>
      </w:r>
      <w:r w:rsidR="00E741A7">
        <w:t>”</w:t>
      </w:r>
      <w:r>
        <w:t>).</w:t>
      </w:r>
      <w:r w:rsidRPr="00064BA9">
        <w:t xml:space="preserve"> </w:t>
      </w:r>
      <w:r>
        <w:t xml:space="preserve">For each mouse, baseline RBC, weight, body temperature, and blood glucose measurements were collected between 1 and 5 days prior to infection. In some cases, blood glucose was collected only at baseline sampling and on </w:t>
      </w:r>
      <w:r>
        <w:lastRenderedPageBreak/>
        <w:t>the day of sacrifice. Mice were restrained during sample collection using tail-access rodent restrainers (</w:t>
      </w:r>
      <w:proofErr w:type="spellStart"/>
      <w:r>
        <w:t>Stoelting</w:t>
      </w:r>
      <w:proofErr w:type="spellEnd"/>
      <w:r>
        <w:t xml:space="preserve"> Co.). Blood was collected from the tail vein by nicking the end of the tail with disinfected surgical </w:t>
      </w:r>
      <w:proofErr w:type="gramStart"/>
      <w:r>
        <w:t>scissors, and</w:t>
      </w:r>
      <w:proofErr w:type="gramEnd"/>
      <w:r>
        <w:t xml:space="preserve"> depositing the blood into EDTA-coated capillary tubes to prevent clotting. For total RBC quantitation, 2uL of blood was diluted in 1mL of cold 1x Hank’s Balanced Salt Solution (HBSS) and kept on ice until absolute RBC counts were obtained using forward and side scatter gates on a BD </w:t>
      </w:r>
      <w:proofErr w:type="spellStart"/>
      <w:r>
        <w:t>Accuri</w:t>
      </w:r>
      <w:proofErr w:type="spellEnd"/>
      <w:r>
        <w:t xml:space="preserve"> C6 Plus flow cytometer. To record body temperature, mice in the metabolic screen experiments were</w:t>
      </w:r>
      <w:r w:rsidRPr="00064BA9">
        <w:t xml:space="preserve"> implanted with subcutaneous electronic temperature and ID transponders (IPTT-300 transponders, Bio Medic Data System, Inc) one week prior to infection. Mice were locally anesthetized using a 2% lidocaine solution (100 ug delivered per dose) prior to implantatio</w:t>
      </w:r>
      <w:r>
        <w:t>n.</w:t>
      </w:r>
      <w:r w:rsidRPr="00064BA9">
        <w:t xml:space="preserve"> Temperature data was recorded using a DAS-7006/7 s reader (Bio Medic Data System, Inc).</w:t>
      </w:r>
      <w:r>
        <w:t xml:space="preserve"> Subsequent to metabolic screen experiments, body temperatures were measured using a thermocouple thermometer and mouse rectal probe (World Precision Instruments, RET-3). Blood glucose measurements were obtained with 2uL of tail vein blood analyzed with a </w:t>
      </w:r>
      <w:r w:rsidRPr="00664576">
        <w:t xml:space="preserve">Bayer CONTOUR Blood Glucose </w:t>
      </w:r>
      <w:r>
        <w:t xml:space="preserve">Monitor and </w:t>
      </w:r>
      <w:r w:rsidRPr="00664576">
        <w:t>Test Strips</w:t>
      </w:r>
      <w:r>
        <w:t xml:space="preserve">. Post-infection sampling began on day 4 or 5 post-infection. Parasitemia values were obtained as detailed above. Parasite density is the number of </w:t>
      </w:r>
      <w:proofErr w:type="spellStart"/>
      <w:r>
        <w:t>iRBCs</w:t>
      </w:r>
      <w:proofErr w:type="spellEnd"/>
      <w:r>
        <w:t xml:space="preserve"> per microliter of </w:t>
      </w:r>
      <w:proofErr w:type="gramStart"/>
      <w:r>
        <w:t>blood, and</w:t>
      </w:r>
      <w:proofErr w:type="gramEnd"/>
      <w:r>
        <w:t xml:space="preserve"> is calculated by multiplying parasitemia by the number of total RBCs.</w:t>
      </w:r>
    </w:p>
    <w:p w14:paraId="7583DECD" w14:textId="22C06068" w:rsidR="008B279A" w:rsidRDefault="00DE4206"/>
    <w:p w14:paraId="1C1DC11A" w14:textId="77777777" w:rsidR="00AC2A57" w:rsidRPr="00BD251C" w:rsidRDefault="00AC2A57" w:rsidP="00AC2A57">
      <w:pPr>
        <w:pStyle w:val="ListParagraph"/>
        <w:numPr>
          <w:ilvl w:val="0"/>
          <w:numId w:val="1"/>
        </w:numPr>
        <w:rPr>
          <w:b/>
          <w:bCs/>
        </w:rPr>
      </w:pPr>
      <w:r>
        <w:rPr>
          <w:b/>
          <w:bCs/>
        </w:rPr>
        <w:t>Plasma collection for c</w:t>
      </w:r>
      <w:r w:rsidRPr="00BD251C">
        <w:rPr>
          <w:b/>
          <w:bCs/>
        </w:rPr>
        <w:t xml:space="preserve">ross-sectional </w:t>
      </w:r>
      <w:r>
        <w:rPr>
          <w:b/>
          <w:bCs/>
        </w:rPr>
        <w:t>analyses</w:t>
      </w:r>
      <w:r w:rsidRPr="00BD251C">
        <w:rPr>
          <w:b/>
          <w:bCs/>
        </w:rPr>
        <w:t>.</w:t>
      </w:r>
      <w:r>
        <w:t xml:space="preserve"> Between 3 and 5 infected mice of each strain were euthanized each day from days 3-12 post-infection for cross-sectional analysis. Because the WSB/EiJ strain experiences delayed peak infection severity relative to the other mouse strains in this study, 3 or 4 WSB/EiJ mice were euthanized each day from days 3-17 post-infection for cross-sectional analysis. For each mouse strain, 2 uninfected control animals were euthanized at baseline and generally on odd-numbered days between days 3-12 or 3-17 for WSB/EiJ mice. Euthanasia was performed using carbon dioxide asphyxiation in accordance with Stanford University and APLAC guidelines for humane euthanasia. Following euthanasia, blood was collected via cardiac puncture using 25Gx5/8IN tuberculin syringes (Fisher Scientific </w:t>
      </w:r>
      <w:r w:rsidRPr="00B84585">
        <w:t>14-841-34</w:t>
      </w:r>
      <w:r>
        <w:t xml:space="preserve">). Syringes were primed by filling the syringe barrel with 0.5M EDTA, pH 8.0 anticoagulant and dispensing all but 50uL. Collected blood was stored on ice in 1.5mL Eppendorf tubes for 15-45 minutes before spinning at 1,000xg at 4 degrees C for 5 minutes in a tabletop centrifuge. Plasma was frozen at -80C </w:t>
      </w:r>
      <w:proofErr w:type="gramStart"/>
      <w:r>
        <w:t>immediately, and</w:t>
      </w:r>
      <w:proofErr w:type="gramEnd"/>
      <w:r>
        <w:t xml:space="preserve"> thawed/re-frozen once to aliquot for downstream cytokine, metabolite, and liver enzyme analyses. </w:t>
      </w:r>
    </w:p>
    <w:p w14:paraId="3C85BD0A" w14:textId="77777777" w:rsidR="00AC2A57" w:rsidRPr="00BD251C" w:rsidRDefault="00AC2A57" w:rsidP="00AC2A57">
      <w:pPr>
        <w:rPr>
          <w:b/>
          <w:bCs/>
        </w:rPr>
      </w:pPr>
    </w:p>
    <w:p w14:paraId="71B2041E" w14:textId="66B8EB04" w:rsidR="00AC2A57" w:rsidRPr="00CD54C0" w:rsidRDefault="00AC2A57" w:rsidP="00AC2A57">
      <w:pPr>
        <w:pStyle w:val="ListParagraph"/>
        <w:numPr>
          <w:ilvl w:val="0"/>
          <w:numId w:val="1"/>
        </w:numPr>
        <w:rPr>
          <w:b/>
          <w:bCs/>
        </w:rPr>
      </w:pPr>
      <w:r w:rsidRPr="007D0F19">
        <w:rPr>
          <w:b/>
          <w:bCs/>
        </w:rPr>
        <w:t>Cytokine analysis.</w:t>
      </w:r>
      <w:r>
        <w:t xml:space="preserve"> 75uL of plasma was sent to </w:t>
      </w:r>
      <w:r w:rsidRPr="00C703E8">
        <w:t xml:space="preserve">the Human Immune Monitoring Center at Stanford University. Mouse 38-plex kits were purchased from </w:t>
      </w:r>
      <w:proofErr w:type="spellStart"/>
      <w:r w:rsidRPr="00C703E8">
        <w:t>eBiosciences</w:t>
      </w:r>
      <w:proofErr w:type="spellEnd"/>
      <w:r w:rsidRPr="00C703E8">
        <w:t xml:space="preserve">/Affymetrix and used according to the manufacturer’s recommendations with modifications as described below. Briefly, beads were added to a 96-well plate and washed in a </w:t>
      </w:r>
      <w:proofErr w:type="spellStart"/>
      <w:r w:rsidRPr="00C703E8">
        <w:t>Biotek</w:t>
      </w:r>
      <w:proofErr w:type="spellEnd"/>
      <w:r w:rsidRPr="00C703E8">
        <w:t xml:space="preserve"> ELx405 washer. Samples were added to the plate containing the mixed antibody-linked beads and incubated at room temperature for one hour followed by overnight incubation at 4°C with shaking. Cold and room temperature incubation steps were performed on an orbital shaker at 500-600 rpm. Following the overnight incubation, </w:t>
      </w:r>
      <w:r w:rsidRPr="00C703E8">
        <w:lastRenderedPageBreak/>
        <w:t xml:space="preserve">plates were washed as above and then a biotinylated detection antibody was added for 75 minutes at room temperature with shaking. Plates were washed as </w:t>
      </w:r>
      <w:proofErr w:type="gramStart"/>
      <w:r w:rsidRPr="00C703E8">
        <w:t>above</w:t>
      </w:r>
      <w:proofErr w:type="gramEnd"/>
      <w:r w:rsidRPr="00C703E8">
        <w:t xml:space="preserve"> and streptavidin-PE was added. After incubation for 30 minutes at room temperature a wash was performed as above and reading buffer was added to the wells. Each sample was measured as singletons. Plates were read using a Luminex 200 instrument with a lower bound of 50 beads per sample per cytokine. Custom assay control beads by Radix </w:t>
      </w:r>
      <w:proofErr w:type="spellStart"/>
      <w:r w:rsidRPr="00C703E8">
        <w:t>Biosolutions</w:t>
      </w:r>
      <w:proofErr w:type="spellEnd"/>
      <w:r w:rsidRPr="00C703E8">
        <w:t xml:space="preserve"> were added to each well.</w:t>
      </w:r>
      <w:r>
        <w:t xml:space="preserve"> </w:t>
      </w:r>
      <w:r w:rsidR="00B01AD2">
        <w:t>For data analysis, s</w:t>
      </w:r>
      <w:r>
        <w:t xml:space="preserve">amples in which &gt;50% of cytokines returned low bead counts (&lt;=25) were filtered from the dataset. Individual datapoints with bead count &lt;=25 </w:t>
      </w:r>
      <w:proofErr w:type="gramStart"/>
      <w:r>
        <w:t>were</w:t>
      </w:r>
      <w:proofErr w:type="gramEnd"/>
      <w:r>
        <w:t xml:space="preserve"> also removed.</w:t>
      </w:r>
    </w:p>
    <w:p w14:paraId="5554EAC8" w14:textId="77777777" w:rsidR="00AC2A57" w:rsidRPr="00CD54C0" w:rsidRDefault="00AC2A57" w:rsidP="00AC2A57">
      <w:pPr>
        <w:pStyle w:val="ListParagraph"/>
        <w:rPr>
          <w:b/>
          <w:bCs/>
        </w:rPr>
      </w:pPr>
    </w:p>
    <w:p w14:paraId="35BFEC79" w14:textId="1F8F8045" w:rsidR="00AC2A57" w:rsidRDefault="00AC2A57" w:rsidP="00AC2A57">
      <w:pPr>
        <w:pStyle w:val="ListParagraph"/>
        <w:numPr>
          <w:ilvl w:val="0"/>
          <w:numId w:val="1"/>
        </w:numPr>
      </w:pPr>
      <w:r w:rsidRPr="00CD54C0">
        <w:rPr>
          <w:b/>
          <w:bCs/>
        </w:rPr>
        <w:t>Metabolite analysis.</w:t>
      </w:r>
      <w:r>
        <w:rPr>
          <w:b/>
          <w:bCs/>
        </w:rPr>
        <w:t xml:space="preserve"> </w:t>
      </w:r>
      <w:r>
        <w:t>100uL of plasma was shipped to Metabolon (</w:t>
      </w:r>
      <w:r w:rsidRPr="00AA2D38">
        <w:t>https://www.metabolon.com/</w:t>
      </w:r>
      <w:r>
        <w:t>, Durham, NC, USA), which performed a combination of gas and liquid chromatography with mass spectrometry (GC/LC-MS). Compounds were identified by comparing sample peaks to an internal Metabolon library of known and unknown compounds. Raw peak values were obtained using area-the-curve. Additional data normalizations were performed by Metabolon to account for sample dilutions and day-to-day variation in instrument performance</w:t>
      </w:r>
      <w:r w:rsidR="00CC015A">
        <w:t xml:space="preserve"> (see #9 below)</w:t>
      </w:r>
      <w:r>
        <w:t xml:space="preserve">. </w:t>
      </w:r>
    </w:p>
    <w:p w14:paraId="1EDFB46D" w14:textId="77777777" w:rsidR="00AC2A57" w:rsidRPr="00CD54C0" w:rsidRDefault="00AC2A57" w:rsidP="00AC2A57">
      <w:pPr>
        <w:pStyle w:val="ListParagraph"/>
      </w:pPr>
    </w:p>
    <w:p w14:paraId="13480C34" w14:textId="4E08DE30" w:rsidR="00CC015A" w:rsidRDefault="00AC2A57" w:rsidP="00CC015A">
      <w:pPr>
        <w:pStyle w:val="ListParagraph"/>
        <w:numPr>
          <w:ilvl w:val="0"/>
          <w:numId w:val="1"/>
        </w:numPr>
      </w:pPr>
      <w:r w:rsidRPr="008312C0">
        <w:rPr>
          <w:b/>
          <w:bCs/>
        </w:rPr>
        <w:t xml:space="preserve">Liver enzyme analysis. </w:t>
      </w:r>
      <w:r>
        <w:t>90uL of plasma was sent to the Veterinary Service Center Diagnostic Lab at Stanford University. Parameters measured were plasma markers of liver damage: aspartate (AST) and alanine (ALT) transaminases. Units are reported as units per liter (U/L).</w:t>
      </w:r>
    </w:p>
    <w:p w14:paraId="4540B33A" w14:textId="77777777" w:rsidR="00CC015A" w:rsidRDefault="00CC015A" w:rsidP="00CC015A">
      <w:pPr>
        <w:pStyle w:val="ListParagraph"/>
      </w:pPr>
    </w:p>
    <w:p w14:paraId="363BF04C" w14:textId="347E746B" w:rsidR="00CC015A" w:rsidRPr="00CC015A" w:rsidRDefault="00D052C9" w:rsidP="00CC015A">
      <w:pPr>
        <w:pStyle w:val="ListParagraph"/>
        <w:numPr>
          <w:ilvl w:val="0"/>
          <w:numId w:val="1"/>
        </w:numPr>
      </w:pPr>
      <w:r>
        <w:t>The following language is taken directly from Metabolon’s final report prepared for the study:</w:t>
      </w:r>
      <w:r w:rsidR="00CC015A">
        <w:br/>
      </w:r>
      <w:r w:rsidR="00CC015A">
        <w:br/>
      </w:r>
      <w:r w:rsidRPr="00CC015A">
        <w:rPr>
          <w:rFonts w:ascii="Calibri" w:hAnsi="Calibri" w:cs="Calibri"/>
          <w:b/>
        </w:rPr>
        <w:t>Sample Accessioning:</w:t>
      </w:r>
      <w:r w:rsidRPr="00CC015A">
        <w:rPr>
          <w:rFonts w:ascii="Calibri" w:hAnsi="Calibri" w:cs="Calibri"/>
        </w:rPr>
        <w:t xml:space="preserve">  Following receipt, samples were inventoried and immediately stored at -80</w:t>
      </w:r>
      <w:r w:rsidRPr="00CC015A">
        <w:rPr>
          <w:rFonts w:ascii="Calibri" w:hAnsi="Calibri" w:cs="Calibri"/>
          <w:vertAlign w:val="superscript"/>
        </w:rPr>
        <w:t>o</w:t>
      </w:r>
      <w:r w:rsidRPr="00CC015A">
        <w:rPr>
          <w:rFonts w:ascii="Calibri" w:hAnsi="Calibri" w:cs="Calibri"/>
        </w:rPr>
        <w:t>C.  Each sample received was accessioned into the Metabolon LIMS system and was assigned by the LIMS a unique identifier that was associated with the original source identifier only.  This identifier was used to track all sample handling, tasks, results, etc.  The samples (and all derived aliquots) were tracked by the LIMS system.  All portions of any sample were automatically assigned their own unique identifiers by the LIMS when a new task was created; the relationship of these samples was also tracked.  All samples were maintained at -80</w:t>
      </w:r>
      <w:r w:rsidRPr="00CC015A">
        <w:rPr>
          <w:rFonts w:ascii="Calibri" w:hAnsi="Calibri" w:cs="Calibri"/>
          <w:vertAlign w:val="superscript"/>
        </w:rPr>
        <w:t>o</w:t>
      </w:r>
      <w:r w:rsidRPr="00CC015A">
        <w:rPr>
          <w:rFonts w:ascii="Calibri" w:hAnsi="Calibri" w:cs="Calibri"/>
        </w:rPr>
        <w:t>C until processed</w:t>
      </w:r>
      <w:r w:rsidR="00CC015A">
        <w:rPr>
          <w:rFonts w:ascii="Calibri" w:hAnsi="Calibri" w:cs="Calibri"/>
        </w:rPr>
        <w:t>.</w:t>
      </w:r>
      <w:r w:rsidR="00CC015A">
        <w:rPr>
          <w:rFonts w:ascii="Calibri" w:hAnsi="Calibri" w:cs="Calibri"/>
        </w:rPr>
        <w:br/>
      </w:r>
      <w:r w:rsidR="00CC015A">
        <w:rPr>
          <w:rFonts w:ascii="Calibri" w:hAnsi="Calibri" w:cs="Calibri"/>
        </w:rPr>
        <w:br/>
      </w:r>
      <w:r w:rsidRPr="00CC015A">
        <w:rPr>
          <w:rFonts w:ascii="Calibri" w:hAnsi="Calibri" w:cs="Calibri"/>
          <w:b/>
        </w:rPr>
        <w:t>Sample Preparation:</w:t>
      </w:r>
      <w:r w:rsidRPr="00CC015A">
        <w:rPr>
          <w:rFonts w:ascii="Calibri" w:hAnsi="Calibri" w:cs="Calibri"/>
          <w:b/>
          <w:i/>
        </w:rPr>
        <w:t xml:space="preserve">  </w:t>
      </w:r>
      <w:r w:rsidRPr="00CC015A">
        <w:rPr>
          <w:rFonts w:ascii="Calibri" w:hAnsi="Calibri" w:cs="Calibri"/>
        </w:rPr>
        <w:t xml:space="preserve">Samples were prepared using the automated </w:t>
      </w:r>
      <w:proofErr w:type="spellStart"/>
      <w:r w:rsidRPr="00CC015A">
        <w:rPr>
          <w:rFonts w:ascii="Calibri" w:hAnsi="Calibri" w:cs="Calibri"/>
        </w:rPr>
        <w:t>MicroLab</w:t>
      </w:r>
      <w:proofErr w:type="spellEnd"/>
      <w:r w:rsidRPr="00CC015A">
        <w:rPr>
          <w:rFonts w:ascii="Calibri" w:hAnsi="Calibri" w:cs="Calibri"/>
        </w:rPr>
        <w:t xml:space="preserve"> STAR® system from Hamilton Company.  Several recovery standards were added prior to the first step in the extraction process for QC purposes.  To remove protein, dissociate small molecules bound to protein or trapped in the precipitated protein matrix, and to recover chemically diverse metabolites, proteins were precipitated with methanol under vigorous shaking for 2 min (Glen Mills </w:t>
      </w:r>
      <w:proofErr w:type="spellStart"/>
      <w:r w:rsidRPr="00CC015A">
        <w:rPr>
          <w:rFonts w:ascii="Calibri" w:hAnsi="Calibri" w:cs="Calibri"/>
        </w:rPr>
        <w:t>GenoGrinder</w:t>
      </w:r>
      <w:proofErr w:type="spellEnd"/>
      <w:r w:rsidRPr="00CC015A">
        <w:rPr>
          <w:rFonts w:ascii="Calibri" w:hAnsi="Calibri" w:cs="Calibri"/>
        </w:rPr>
        <w:t xml:space="preserve"> 2000) followed by centrifugation.  The resulting extract was divided into five fractions: two for analysis by two separate reverse </w:t>
      </w:r>
      <w:proofErr w:type="gramStart"/>
      <w:r w:rsidRPr="00CC015A">
        <w:rPr>
          <w:rFonts w:ascii="Calibri" w:hAnsi="Calibri" w:cs="Calibri"/>
        </w:rPr>
        <w:t>phase</w:t>
      </w:r>
      <w:proofErr w:type="gramEnd"/>
      <w:r w:rsidRPr="00CC015A">
        <w:rPr>
          <w:rFonts w:ascii="Calibri" w:hAnsi="Calibri" w:cs="Calibri"/>
        </w:rPr>
        <w:t xml:space="preserve"> (RP)/UPLC-MS/MS methods with positive ion mode electrospray ionization (ESI), one for analysis by RP/UPLC-MS/MS with negative ion mode ESI, one for </w:t>
      </w:r>
      <w:r w:rsidRPr="00CC015A">
        <w:rPr>
          <w:rFonts w:ascii="Calibri" w:hAnsi="Calibri" w:cs="Calibri"/>
        </w:rPr>
        <w:lastRenderedPageBreak/>
        <w:t xml:space="preserve">analysis by HILIC/UPLC-MS/MS with negative ion mode ESI, and one sample was reserved for backup. Samples were placed briefly on a </w:t>
      </w:r>
      <w:proofErr w:type="spellStart"/>
      <w:r w:rsidRPr="00CC015A">
        <w:rPr>
          <w:rFonts w:ascii="Calibri" w:hAnsi="Calibri" w:cs="Calibri"/>
        </w:rPr>
        <w:t>TurboVap</w:t>
      </w:r>
      <w:proofErr w:type="spellEnd"/>
      <w:r w:rsidRPr="00CC015A">
        <w:rPr>
          <w:rFonts w:ascii="Calibri" w:hAnsi="Calibri" w:cs="Calibri"/>
        </w:rPr>
        <w:t>® (</w:t>
      </w:r>
      <w:proofErr w:type="spellStart"/>
      <w:r w:rsidRPr="00CC015A">
        <w:rPr>
          <w:rFonts w:ascii="Calibri" w:hAnsi="Calibri" w:cs="Calibri"/>
        </w:rPr>
        <w:t>Zymark</w:t>
      </w:r>
      <w:proofErr w:type="spellEnd"/>
      <w:r w:rsidRPr="00CC015A">
        <w:rPr>
          <w:rFonts w:ascii="Calibri" w:hAnsi="Calibri" w:cs="Calibri"/>
        </w:rPr>
        <w:t xml:space="preserve">) to remove the organic solvent.  The sample extracts were stored overnight under nitrogen before preparation for analysis.  </w:t>
      </w:r>
      <w:r w:rsidR="00CC015A">
        <w:rPr>
          <w:rFonts w:ascii="Calibri" w:hAnsi="Calibri" w:cs="Calibri"/>
        </w:rPr>
        <w:br/>
      </w:r>
      <w:r w:rsidR="00CC015A">
        <w:rPr>
          <w:rFonts w:ascii="Calibri" w:hAnsi="Calibri" w:cs="Calibri"/>
        </w:rPr>
        <w:br/>
      </w:r>
      <w:r w:rsidRPr="00CC015A">
        <w:rPr>
          <w:rFonts w:ascii="Calibri" w:hAnsi="Calibri" w:cs="Calibri"/>
          <w:b/>
        </w:rPr>
        <w:t xml:space="preserve">QA/QC:  </w:t>
      </w:r>
      <w:r w:rsidRPr="00CC015A">
        <w:rPr>
          <w:rFonts w:ascii="Calibri" w:hAnsi="Calibri" w:cs="Calibri"/>
        </w:rPr>
        <w:t>Several types of controls were analyzed in concert with the experimental samples: a pooled matrix sample generated by taking a small volume of each experimental sample (or alternatively, use of a pool of well-characterized human plasma) served as a technical replicate throughout the data set; extracted water samples served as process blanks; and a cocktail of QC standards that were carefully chosen not to interfere with the measurement of endogenous compounds were spiked into every analyzed sample, allowed instrument performance monitoring and aided chromatographic alignment. Instrument variability was determined by calculating the median relative standard deviation (RSD) for the standards that were added to each sample prior to injection into the mass spectrometers.  Overall process variability was determined by calculating the median RSD for all endogenous metabolites (i.e., non-instrument standards) present in 100% of the pooled matrix samples.  Experimental samples were randomized across the platform run with QC samples spaced evenly among the injections.</w:t>
      </w:r>
      <w:r w:rsidR="00CC015A">
        <w:rPr>
          <w:rFonts w:ascii="Calibri" w:hAnsi="Calibri" w:cs="Calibri"/>
        </w:rPr>
        <w:br/>
      </w:r>
      <w:r w:rsidR="00CC015A">
        <w:rPr>
          <w:rFonts w:ascii="Calibri" w:hAnsi="Calibri" w:cs="Calibri"/>
        </w:rPr>
        <w:br/>
      </w:r>
      <w:r w:rsidRPr="00CC015A">
        <w:rPr>
          <w:rFonts w:ascii="Calibri" w:hAnsi="Calibri" w:cs="Calibri"/>
          <w:b/>
          <w:bCs/>
        </w:rPr>
        <w:t>Ul</w:t>
      </w:r>
      <w:r w:rsidRPr="00CC015A">
        <w:rPr>
          <w:rFonts w:ascii="Calibri" w:hAnsi="Calibri" w:cs="Calibri"/>
          <w:b/>
        </w:rPr>
        <w:t>trahigh Performance Liquid Chromatography-Tandem Mass Spectroscopy (UPLC-MS/MS):</w:t>
      </w:r>
      <w:r w:rsidRPr="00CC015A">
        <w:rPr>
          <w:rFonts w:ascii="Calibri" w:hAnsi="Calibri" w:cs="Calibri"/>
        </w:rPr>
        <w:t xml:space="preserve">  All methods utilized a Waters ACQUITY ultra-performance liquid chromatography (UPLC) and a Thermo Scientific Q-</w:t>
      </w:r>
      <w:proofErr w:type="spellStart"/>
      <w:r w:rsidRPr="00CC015A">
        <w:rPr>
          <w:rFonts w:ascii="Calibri" w:hAnsi="Calibri" w:cs="Calibri"/>
        </w:rPr>
        <w:t>Exactive</w:t>
      </w:r>
      <w:proofErr w:type="spellEnd"/>
      <w:r w:rsidRPr="00CC015A">
        <w:rPr>
          <w:rFonts w:ascii="Calibri" w:hAnsi="Calibri" w:cs="Calibri"/>
        </w:rPr>
        <w:t xml:space="preserve"> high resolution/accurate mass spectrometer interfaced with a heated electrospray ionization (HESI-II) source and Orbitrap mass analyzer operated at 35,000 mass resolution.  The sample extract was dried then reconstituted in solvents compatible to each of the four methods. Each reconstitution solvent contained a series of standards at fixed concentrations to ensure injection and chromatographic consistency.  One aliquot was analyzed using acidic positive ion conditions, chromatographically optimized for more hydrophilic compounds. In this method, the extract was gradient eluted from a C18 column (Waters UPLC BEH C18-2.1x100 mm, 1.7 µm) using water and methanol, containing 0.05% </w:t>
      </w:r>
      <w:proofErr w:type="spellStart"/>
      <w:r w:rsidRPr="00CC015A">
        <w:rPr>
          <w:rFonts w:ascii="Calibri" w:hAnsi="Calibri" w:cs="Calibri"/>
        </w:rPr>
        <w:t>perfluoropentanoic</w:t>
      </w:r>
      <w:proofErr w:type="spellEnd"/>
      <w:r w:rsidRPr="00CC015A">
        <w:rPr>
          <w:rFonts w:ascii="Calibri" w:hAnsi="Calibri" w:cs="Calibri"/>
        </w:rPr>
        <w:t xml:space="preserve"> acid (PFPA) and 0.1% formic acid (FA).  Another aliquot was also analyzed using acidic positive ion </w:t>
      </w:r>
      <w:proofErr w:type="gramStart"/>
      <w:r w:rsidRPr="00CC015A">
        <w:rPr>
          <w:rFonts w:ascii="Calibri" w:hAnsi="Calibri" w:cs="Calibri"/>
        </w:rPr>
        <w:t>conditions,</w:t>
      </w:r>
      <w:proofErr w:type="gramEnd"/>
      <w:r w:rsidRPr="00CC015A">
        <w:rPr>
          <w:rFonts w:ascii="Calibri" w:hAnsi="Calibri" w:cs="Calibri"/>
        </w:rPr>
        <w:t xml:space="preserve"> however it was chromatographically optimized for more hydrophobic compounds.  In this method, the extract was gradient eluted from the same afore mentioned C18 column using methanol, acetonitrile, water, 0.05% PFPA and 0.01% FA and was operated at an overall higher organic content.  Another aliquot was analyzed using basic negative ion optimized conditions using a separate dedicated C18 column.   The basic extracts were gradient eluted from the column using methanol and water, however with 6.5mM Ammonium Bicarbonate at pH 8. The fourth aliquot was analyzed via negative ionization following elution from a HILIC column (Waters UPLC BEH Amide 2.1x150 mm, 1.7 µm) using a gradient consisting of water and acetonitrile with 10mM Ammonium Formate, pH 10.8. The MS analysis alternated between MS and data-dependent </w:t>
      </w:r>
      <w:proofErr w:type="spellStart"/>
      <w:r w:rsidRPr="00CC015A">
        <w:rPr>
          <w:rFonts w:ascii="Calibri" w:hAnsi="Calibri" w:cs="Calibri"/>
        </w:rPr>
        <w:t>MS</w:t>
      </w:r>
      <w:r w:rsidRPr="00CC015A">
        <w:rPr>
          <w:rFonts w:ascii="Calibri" w:hAnsi="Calibri" w:cs="Calibri"/>
          <w:vertAlign w:val="superscript"/>
        </w:rPr>
        <w:t>n</w:t>
      </w:r>
      <w:proofErr w:type="spellEnd"/>
      <w:r w:rsidRPr="00CC015A">
        <w:rPr>
          <w:rFonts w:ascii="Calibri" w:hAnsi="Calibri" w:cs="Calibri"/>
        </w:rPr>
        <w:t xml:space="preserve"> scans using dynamic exclusion.  The scan range varied slighted between methods but covered 70-1000 m/z.  Raw data files </w:t>
      </w:r>
      <w:r w:rsidRPr="00CC015A">
        <w:rPr>
          <w:rFonts w:ascii="Calibri" w:hAnsi="Calibri" w:cs="Calibri"/>
        </w:rPr>
        <w:lastRenderedPageBreak/>
        <w:t>are archived and extracted as described below.</w:t>
      </w:r>
      <w:r w:rsidR="00CC015A">
        <w:rPr>
          <w:rFonts w:ascii="Calibri" w:hAnsi="Calibri" w:cs="Calibri"/>
        </w:rPr>
        <w:br/>
      </w:r>
      <w:r w:rsidR="00CC015A">
        <w:rPr>
          <w:rFonts w:ascii="Calibri" w:hAnsi="Calibri" w:cs="Calibri"/>
        </w:rPr>
        <w:br/>
      </w:r>
      <w:r w:rsidRPr="00CC015A">
        <w:rPr>
          <w:rFonts w:ascii="Calibri" w:hAnsi="Calibri" w:cs="Calibri"/>
          <w:b/>
        </w:rPr>
        <w:t>Bioinformatics:</w:t>
      </w:r>
      <w:r w:rsidRPr="00CC015A">
        <w:rPr>
          <w:rFonts w:ascii="Calibri" w:hAnsi="Calibri" w:cs="Calibri"/>
        </w:rPr>
        <w:t xml:space="preserve">  The informatics system consisted of four major components, the Laboratory Information Management System (LIMS), the data extraction and peak-identification software, data processing tools for QC and compound identification, and a collection of information interpretation and visualization tools for use by data analysts.  The hardware and software foundations for these informatics components were the LAN backbone, and a database server running Oracle 10.2.0.1 Enterprise Edition.</w:t>
      </w:r>
      <w:r w:rsidR="00CC015A">
        <w:rPr>
          <w:rFonts w:ascii="Calibri" w:hAnsi="Calibri" w:cs="Calibri"/>
        </w:rPr>
        <w:br/>
      </w:r>
      <w:r w:rsidR="00CC015A">
        <w:rPr>
          <w:rFonts w:ascii="Calibri" w:hAnsi="Calibri" w:cs="Calibri"/>
        </w:rPr>
        <w:br/>
      </w:r>
      <w:r w:rsidRPr="00CC015A">
        <w:rPr>
          <w:rFonts w:ascii="Calibri" w:hAnsi="Calibri" w:cs="Calibri"/>
          <w:b/>
        </w:rPr>
        <w:t xml:space="preserve">LIMS: </w:t>
      </w:r>
      <w:r w:rsidRPr="00CC015A">
        <w:rPr>
          <w:rFonts w:ascii="Calibri" w:hAnsi="Calibri" w:cs="Calibri"/>
        </w:rPr>
        <w:t xml:space="preserve"> The purpose of the Metabolon LIMS system was to enable fully auditable laboratory automation through a secure, easy to use, and highly specialized system.  The scope of the Metabolon LIMS system encompasses sample accessioning, sample preparation and instrumental analysis and reporting and advanced data analysis.  All of the subsequent software systems are grounded in the LIMS data structures.  It has been modified to leverage and interface with the in-house information extraction and data visualization systems, as well as third party instrumentation and data analysis software.</w:t>
      </w:r>
      <w:r w:rsidR="00CC015A">
        <w:rPr>
          <w:rFonts w:ascii="Calibri" w:hAnsi="Calibri" w:cs="Calibri"/>
        </w:rPr>
        <w:br/>
      </w:r>
      <w:r w:rsidR="00CC015A">
        <w:rPr>
          <w:rFonts w:ascii="Calibri" w:hAnsi="Calibri" w:cs="Calibri"/>
        </w:rPr>
        <w:br/>
      </w:r>
      <w:r w:rsidRPr="00CC015A">
        <w:rPr>
          <w:rFonts w:ascii="Calibri" w:hAnsi="Calibri" w:cs="Calibri"/>
          <w:b/>
        </w:rPr>
        <w:t xml:space="preserve">Data Extraction and Compound Identification: </w:t>
      </w:r>
      <w:r w:rsidRPr="00CC015A">
        <w:rPr>
          <w:rFonts w:ascii="Calibri" w:hAnsi="Calibri" w:cs="Calibri"/>
          <w:b/>
          <w:i/>
        </w:rPr>
        <w:t xml:space="preserve"> </w:t>
      </w:r>
      <w:r w:rsidRPr="00CC015A">
        <w:rPr>
          <w:rFonts w:ascii="Calibri" w:hAnsi="Calibri" w:cs="Calibri"/>
        </w:rPr>
        <w:t>Raw data was extracted, peak-identified and QC processed using Metabolon’s hardware and software.  These systems are built on a web-service platform utilizing Microsoft’s .NET technologies, which run on high-performance application servers and fiber-channel storage arrays in clusters to provide active failover and load-balancing.  Compounds were identified by comparison to library entries of purified standards or recurrent unknown entities.  Metabolon maintains a library based on authenticated standards that contains the retention time/index (RI), mass to charge ratio (</w:t>
      </w:r>
      <w:r w:rsidRPr="00CC015A">
        <w:rPr>
          <w:rFonts w:ascii="Calibri" w:hAnsi="Calibri" w:cs="Calibri"/>
          <w:i/>
        </w:rPr>
        <w:t>m/z)</w:t>
      </w:r>
      <w:r w:rsidRPr="00CC015A">
        <w:rPr>
          <w:rFonts w:ascii="Calibri" w:hAnsi="Calibri" w:cs="Calibri"/>
        </w:rPr>
        <w:t>, and chromatographic data (including MS/MS spectral data) on all molecules present in the library.  Furthermore, biochemical identifications are based on three criteria: retention index within a narrow RI window of the proposed identification, accurate mass match to the library +/- 10 ppm, and the MS/MS forward and reverse scores between the experimental data and authentic standards.  The MS/MS scores are based on a comparison of the ions present in the experimental spectrum to the ions present in the library spectrum.  While there may be similarities between these molecules based on one of these factors, the use of all three data points can be utilized to distinguish and differentiate biochemicals.  More than 3300 commercially available purified standard compounds have been acquired and registered into LIMS for analysis on all platforms for determination of their analytical characteristics.  Additional mass spectral entries have been created for structurally unnamed biochemicals, which have been identified by virtue of their recurrent nature (both chromatographic and mass spectral).  These compounds have the potential to be identified by future acquisition of a matching purified standard or by classical structural analysis.</w:t>
      </w:r>
      <w:r w:rsidR="00CC015A">
        <w:rPr>
          <w:rFonts w:ascii="Calibri" w:hAnsi="Calibri" w:cs="Calibri"/>
        </w:rPr>
        <w:br/>
      </w:r>
      <w:r w:rsidR="00CC015A">
        <w:rPr>
          <w:rFonts w:ascii="Calibri" w:hAnsi="Calibri" w:cs="Calibri"/>
        </w:rPr>
        <w:br/>
      </w:r>
      <w:r w:rsidRPr="00CC015A">
        <w:rPr>
          <w:rFonts w:ascii="Calibri" w:hAnsi="Calibri" w:cs="Calibri"/>
          <w:b/>
        </w:rPr>
        <w:t>Curation:</w:t>
      </w:r>
      <w:r w:rsidRPr="00CC015A">
        <w:rPr>
          <w:rFonts w:ascii="Calibri" w:hAnsi="Calibri" w:cs="Calibri"/>
        </w:rPr>
        <w:t xml:space="preserve">  A variety of curation procedures were carried out to ensure that a </w:t>
      </w:r>
      <w:proofErr w:type="gramStart"/>
      <w:r w:rsidRPr="00CC015A">
        <w:rPr>
          <w:rFonts w:ascii="Calibri" w:hAnsi="Calibri" w:cs="Calibri"/>
        </w:rPr>
        <w:t>high quality</w:t>
      </w:r>
      <w:proofErr w:type="gramEnd"/>
      <w:r w:rsidRPr="00CC015A">
        <w:rPr>
          <w:rFonts w:ascii="Calibri" w:hAnsi="Calibri" w:cs="Calibri"/>
        </w:rPr>
        <w:t xml:space="preserve"> data set was made available for statistical analysis and data interpretation.  The QC and curation processes were designed to ensure accurate and consistent </w:t>
      </w:r>
      <w:r w:rsidRPr="00CC015A">
        <w:rPr>
          <w:rFonts w:ascii="Calibri" w:hAnsi="Calibri" w:cs="Calibri"/>
        </w:rPr>
        <w:lastRenderedPageBreak/>
        <w:t>identification of true chemical entities, and to remove those representing system artifacts, mis-assignments, and background noise.  Metabolon data analysts use proprietary visualization and interpretation software to confirm the consistency of peak identification among the various samples.  Library matches for each compound were checked for each sample and corrected if necessary.</w:t>
      </w:r>
      <w:r w:rsidR="00CC015A">
        <w:rPr>
          <w:rFonts w:ascii="Calibri" w:hAnsi="Calibri" w:cs="Calibri"/>
        </w:rPr>
        <w:br/>
      </w:r>
      <w:r w:rsidR="00CC015A">
        <w:rPr>
          <w:rFonts w:ascii="Calibri" w:hAnsi="Calibri" w:cs="Calibri"/>
        </w:rPr>
        <w:br/>
      </w:r>
      <w:r w:rsidRPr="00CC015A">
        <w:rPr>
          <w:rFonts w:ascii="Calibri" w:hAnsi="Calibri" w:cs="Calibri"/>
          <w:b/>
        </w:rPr>
        <w:t xml:space="preserve">Metabolite Quantification and Data Normalization:  </w:t>
      </w:r>
      <w:r w:rsidRPr="00CC015A">
        <w:rPr>
          <w:rFonts w:ascii="Calibri" w:hAnsi="Calibri" w:cs="Calibri"/>
        </w:rPr>
        <w:t>Peaks were quantified using area-under-the-curve.  For studies spanning multiple days, a data normalization step was performed to correct variation resulting from instrument inter-day tuning differences.  Essentially, each compound was corrected in run-day blocks by registering the medians to equal one (1.00) and normalizing each data point proportionately (termed the “block correction”; Figure 2).   For studies that did not require more than one day of analysis, no normalization is necessary, other than for purposes of data visualization.  In certain instances, biochemical data may have been normalized to an additional factor (e.g., cell counts, total protein as determined by Bradford assay, osmolality, etc.) to account for differences in metabolite levels due to differences in the amount of material present in each sample.</w:t>
      </w:r>
    </w:p>
    <w:p w14:paraId="7244FA6B" w14:textId="77777777" w:rsidR="00CC015A" w:rsidRPr="00CC015A" w:rsidRDefault="00CC015A" w:rsidP="00CC015A">
      <w:pPr>
        <w:pStyle w:val="ListParagraph"/>
      </w:pPr>
    </w:p>
    <w:p w14:paraId="7529EB63" w14:textId="2AFE1BBB" w:rsidR="005F321B" w:rsidRPr="00CC015A" w:rsidRDefault="006A4AEC" w:rsidP="00CC015A">
      <w:pPr>
        <w:pStyle w:val="ListParagraph"/>
        <w:numPr>
          <w:ilvl w:val="0"/>
          <w:numId w:val="1"/>
        </w:numPr>
      </w:pPr>
      <w:r>
        <w:rPr>
          <w:rFonts w:ascii="Calibri" w:hAnsi="Calibri" w:cs="Calibri"/>
        </w:rPr>
        <w:t xml:space="preserve">readme for data tables: </w:t>
      </w:r>
      <w:r w:rsidR="005F321B" w:rsidRPr="00CC015A">
        <w:rPr>
          <w:rFonts w:ascii="Calibri" w:hAnsi="Calibri" w:cs="Calibri"/>
        </w:rPr>
        <w:t>The following table explains the columns in the sample metadata file &amp; overviews cytokine/metabolite normalizations</w:t>
      </w:r>
    </w:p>
    <w:p w14:paraId="76F5BB8C" w14:textId="4C28D682" w:rsidR="005F321B" w:rsidRDefault="005F321B">
      <w:pPr>
        <w:rPr>
          <w:rFonts w:ascii="Calibri" w:hAnsi="Calibri" w:cs="Calibri"/>
        </w:rPr>
      </w:pPr>
    </w:p>
    <w:tbl>
      <w:tblPr>
        <w:tblStyle w:val="TableGrid"/>
        <w:tblW w:w="0" w:type="auto"/>
        <w:tblLook w:val="04A0" w:firstRow="1" w:lastRow="0" w:firstColumn="1" w:lastColumn="0" w:noHBand="0" w:noVBand="1"/>
      </w:tblPr>
      <w:tblGrid>
        <w:gridCol w:w="3037"/>
        <w:gridCol w:w="6313"/>
      </w:tblGrid>
      <w:tr w:rsidR="005F321B" w:rsidRPr="005F321B" w14:paraId="5BE8023E" w14:textId="77777777" w:rsidTr="005F321B">
        <w:trPr>
          <w:trHeight w:val="300"/>
        </w:trPr>
        <w:tc>
          <w:tcPr>
            <w:tcW w:w="3040" w:type="dxa"/>
            <w:noWrap/>
            <w:hideMark/>
          </w:tcPr>
          <w:p w14:paraId="49375A86" w14:textId="77777777" w:rsidR="005F321B" w:rsidRPr="005F321B" w:rsidRDefault="005F321B">
            <w:proofErr w:type="spellStart"/>
            <w:r w:rsidRPr="005F321B">
              <w:t>SampleID</w:t>
            </w:r>
            <w:proofErr w:type="spellEnd"/>
          </w:p>
        </w:tc>
        <w:tc>
          <w:tcPr>
            <w:tcW w:w="6320" w:type="dxa"/>
            <w:noWrap/>
            <w:hideMark/>
          </w:tcPr>
          <w:p w14:paraId="6B98B1C0" w14:textId="07651813" w:rsidR="005F321B" w:rsidRPr="005F321B" w:rsidRDefault="005F321B">
            <w:r w:rsidRPr="005F321B">
              <w:t>unique sample identif</w:t>
            </w:r>
            <w:r w:rsidR="006A4AEC">
              <w:t>i</w:t>
            </w:r>
            <w:r w:rsidRPr="005F321B">
              <w:t>er (one per mouse)</w:t>
            </w:r>
          </w:p>
        </w:tc>
      </w:tr>
      <w:tr w:rsidR="005F321B" w:rsidRPr="005F321B" w14:paraId="20265D4D" w14:textId="77777777" w:rsidTr="005F321B">
        <w:trPr>
          <w:trHeight w:val="300"/>
        </w:trPr>
        <w:tc>
          <w:tcPr>
            <w:tcW w:w="3040" w:type="dxa"/>
            <w:noWrap/>
            <w:hideMark/>
          </w:tcPr>
          <w:p w14:paraId="6EAAE926" w14:textId="77777777" w:rsidR="005F321B" w:rsidRPr="005F321B" w:rsidRDefault="005F321B">
            <w:r w:rsidRPr="005F321B">
              <w:t>Strain</w:t>
            </w:r>
          </w:p>
        </w:tc>
        <w:tc>
          <w:tcPr>
            <w:tcW w:w="6320" w:type="dxa"/>
            <w:noWrap/>
            <w:hideMark/>
          </w:tcPr>
          <w:p w14:paraId="2DBF54D6" w14:textId="77777777" w:rsidR="005F321B" w:rsidRPr="005F321B" w:rsidRDefault="005F321B">
            <w:r w:rsidRPr="005F321B">
              <w:t>mouse strain</w:t>
            </w:r>
          </w:p>
        </w:tc>
      </w:tr>
      <w:tr w:rsidR="005F321B" w:rsidRPr="005F321B" w14:paraId="4D2C601C" w14:textId="77777777" w:rsidTr="005F321B">
        <w:trPr>
          <w:trHeight w:val="300"/>
        </w:trPr>
        <w:tc>
          <w:tcPr>
            <w:tcW w:w="3040" w:type="dxa"/>
            <w:noWrap/>
            <w:hideMark/>
          </w:tcPr>
          <w:p w14:paraId="7AD6185A" w14:textId="77777777" w:rsidR="005F321B" w:rsidRPr="005F321B" w:rsidRDefault="005F321B">
            <w:proofErr w:type="spellStart"/>
            <w:r w:rsidRPr="005F321B">
              <w:t>SacDay</w:t>
            </w:r>
            <w:proofErr w:type="spellEnd"/>
          </w:p>
        </w:tc>
        <w:tc>
          <w:tcPr>
            <w:tcW w:w="6320" w:type="dxa"/>
            <w:noWrap/>
            <w:hideMark/>
          </w:tcPr>
          <w:p w14:paraId="02713C8B" w14:textId="77777777" w:rsidR="005F321B" w:rsidRPr="005F321B" w:rsidRDefault="005F321B">
            <w:r w:rsidRPr="005F321B">
              <w:t>days post-infection that the mouse was sacrificed</w:t>
            </w:r>
          </w:p>
        </w:tc>
      </w:tr>
      <w:tr w:rsidR="005F321B" w:rsidRPr="005F321B" w14:paraId="759DA09B" w14:textId="77777777" w:rsidTr="005F321B">
        <w:trPr>
          <w:trHeight w:val="300"/>
        </w:trPr>
        <w:tc>
          <w:tcPr>
            <w:tcW w:w="3040" w:type="dxa"/>
            <w:noWrap/>
            <w:hideMark/>
          </w:tcPr>
          <w:p w14:paraId="3A6FF42E" w14:textId="77777777" w:rsidR="005F321B" w:rsidRPr="005F321B" w:rsidRDefault="005F321B">
            <w:proofErr w:type="spellStart"/>
            <w:r w:rsidRPr="005F321B">
              <w:t>Infected_yn</w:t>
            </w:r>
            <w:proofErr w:type="spellEnd"/>
          </w:p>
        </w:tc>
        <w:tc>
          <w:tcPr>
            <w:tcW w:w="6320" w:type="dxa"/>
            <w:noWrap/>
            <w:hideMark/>
          </w:tcPr>
          <w:p w14:paraId="73F769AA" w14:textId="77777777" w:rsidR="005F321B" w:rsidRPr="005F321B" w:rsidRDefault="005F321B">
            <w:r w:rsidRPr="005F321B">
              <w:t>was the mouse infected with Plasmodium?</w:t>
            </w:r>
          </w:p>
        </w:tc>
      </w:tr>
      <w:tr w:rsidR="005F321B" w:rsidRPr="005F321B" w14:paraId="0A0BB4A1" w14:textId="77777777" w:rsidTr="005F321B">
        <w:trPr>
          <w:trHeight w:val="300"/>
        </w:trPr>
        <w:tc>
          <w:tcPr>
            <w:tcW w:w="3040" w:type="dxa"/>
            <w:noWrap/>
            <w:hideMark/>
          </w:tcPr>
          <w:p w14:paraId="3B275245" w14:textId="77777777" w:rsidR="005F321B" w:rsidRPr="005F321B" w:rsidRDefault="005F321B">
            <w:proofErr w:type="spellStart"/>
            <w:r w:rsidRPr="005F321B">
              <w:t>Experimental.Cohort</w:t>
            </w:r>
            <w:proofErr w:type="spellEnd"/>
          </w:p>
        </w:tc>
        <w:tc>
          <w:tcPr>
            <w:tcW w:w="6320" w:type="dxa"/>
            <w:noWrap/>
            <w:hideMark/>
          </w:tcPr>
          <w:p w14:paraId="6E8BF38F" w14:textId="77777777" w:rsidR="005F321B" w:rsidRPr="005F321B" w:rsidRDefault="005F321B">
            <w:r w:rsidRPr="005F321B">
              <w:t>experimental cohort (cohort means mice were infected on same day with same inoculum)</w:t>
            </w:r>
          </w:p>
        </w:tc>
      </w:tr>
      <w:tr w:rsidR="005F321B" w:rsidRPr="005F321B" w14:paraId="39FD0C18" w14:textId="77777777" w:rsidTr="005F321B">
        <w:trPr>
          <w:trHeight w:val="300"/>
        </w:trPr>
        <w:tc>
          <w:tcPr>
            <w:tcW w:w="3040" w:type="dxa"/>
            <w:noWrap/>
            <w:hideMark/>
          </w:tcPr>
          <w:p w14:paraId="7E1D4BBE" w14:textId="77777777" w:rsidR="005F321B" w:rsidRPr="005F321B" w:rsidRDefault="005F321B">
            <w:proofErr w:type="spellStart"/>
            <w:r w:rsidRPr="005F321B">
              <w:t>Mouse.Number</w:t>
            </w:r>
            <w:proofErr w:type="spellEnd"/>
          </w:p>
        </w:tc>
        <w:tc>
          <w:tcPr>
            <w:tcW w:w="6320" w:type="dxa"/>
            <w:noWrap/>
            <w:hideMark/>
          </w:tcPr>
          <w:p w14:paraId="44EFAE43" w14:textId="77777777" w:rsidR="005F321B" w:rsidRPr="005F321B" w:rsidRDefault="005F321B">
            <w:r w:rsidRPr="005F321B">
              <w:t>within-experiment mouse identifier</w:t>
            </w:r>
          </w:p>
        </w:tc>
      </w:tr>
      <w:tr w:rsidR="005F321B" w:rsidRPr="005F321B" w14:paraId="0471C862" w14:textId="77777777" w:rsidTr="005F321B">
        <w:trPr>
          <w:trHeight w:val="300"/>
        </w:trPr>
        <w:tc>
          <w:tcPr>
            <w:tcW w:w="3040" w:type="dxa"/>
            <w:noWrap/>
            <w:hideMark/>
          </w:tcPr>
          <w:p w14:paraId="3BC5C0B2" w14:textId="77777777" w:rsidR="005F321B" w:rsidRPr="005F321B" w:rsidRDefault="005F321B">
            <w:r w:rsidRPr="005F321B">
              <w:t>Cage</w:t>
            </w:r>
          </w:p>
        </w:tc>
        <w:tc>
          <w:tcPr>
            <w:tcW w:w="6320" w:type="dxa"/>
            <w:noWrap/>
            <w:hideMark/>
          </w:tcPr>
          <w:p w14:paraId="2C7E4D8C" w14:textId="77777777" w:rsidR="005F321B" w:rsidRPr="005F321B" w:rsidRDefault="005F321B">
            <w:r w:rsidRPr="005F321B">
              <w:t>within-experiment cage number</w:t>
            </w:r>
          </w:p>
        </w:tc>
      </w:tr>
      <w:tr w:rsidR="005F321B" w:rsidRPr="005F321B" w14:paraId="5978D9B3" w14:textId="77777777" w:rsidTr="005F321B">
        <w:trPr>
          <w:trHeight w:val="300"/>
        </w:trPr>
        <w:tc>
          <w:tcPr>
            <w:tcW w:w="3040" w:type="dxa"/>
            <w:noWrap/>
            <w:hideMark/>
          </w:tcPr>
          <w:p w14:paraId="1C2106E2" w14:textId="77777777" w:rsidR="005F321B" w:rsidRPr="005F321B" w:rsidRDefault="005F321B">
            <w:proofErr w:type="spellStart"/>
            <w:r w:rsidRPr="005F321B">
              <w:t>Notes.Global</w:t>
            </w:r>
            <w:proofErr w:type="spellEnd"/>
          </w:p>
        </w:tc>
        <w:tc>
          <w:tcPr>
            <w:tcW w:w="6320" w:type="dxa"/>
            <w:noWrap/>
            <w:hideMark/>
          </w:tcPr>
          <w:p w14:paraId="3A11D72E" w14:textId="77777777" w:rsidR="005F321B" w:rsidRPr="005F321B" w:rsidRDefault="005F321B">
            <w:r w:rsidRPr="005F321B">
              <w:t>notes specific to the mouse</w:t>
            </w:r>
          </w:p>
        </w:tc>
      </w:tr>
      <w:tr w:rsidR="005F321B" w:rsidRPr="005F321B" w14:paraId="714F43C2" w14:textId="77777777" w:rsidTr="005F321B">
        <w:trPr>
          <w:trHeight w:val="300"/>
        </w:trPr>
        <w:tc>
          <w:tcPr>
            <w:tcW w:w="3040" w:type="dxa"/>
            <w:noWrap/>
            <w:hideMark/>
          </w:tcPr>
          <w:p w14:paraId="0C4487A4" w14:textId="77777777" w:rsidR="005F321B" w:rsidRPr="005F321B" w:rsidRDefault="005F321B">
            <w:proofErr w:type="spellStart"/>
            <w:proofErr w:type="gramStart"/>
            <w:r w:rsidRPr="005F321B">
              <w:t>Blood.Volume.Gross</w:t>
            </w:r>
            <w:proofErr w:type="spellEnd"/>
            <w:proofErr w:type="gramEnd"/>
          </w:p>
        </w:tc>
        <w:tc>
          <w:tcPr>
            <w:tcW w:w="6320" w:type="dxa"/>
            <w:noWrap/>
            <w:hideMark/>
          </w:tcPr>
          <w:p w14:paraId="3C14495D" w14:textId="77777777" w:rsidR="005F321B" w:rsidRPr="005F321B" w:rsidRDefault="005F321B">
            <w:r w:rsidRPr="005F321B">
              <w:t>volume (</w:t>
            </w:r>
            <w:proofErr w:type="spellStart"/>
            <w:r w:rsidRPr="005F321B">
              <w:t>uL</w:t>
            </w:r>
            <w:proofErr w:type="spellEnd"/>
            <w:r w:rsidRPr="005F321B">
              <w:t>) blood collected from cardiac puncture + EDTA</w:t>
            </w:r>
          </w:p>
        </w:tc>
      </w:tr>
      <w:tr w:rsidR="005F321B" w:rsidRPr="005F321B" w14:paraId="71D03731" w14:textId="77777777" w:rsidTr="005F321B">
        <w:trPr>
          <w:trHeight w:val="300"/>
        </w:trPr>
        <w:tc>
          <w:tcPr>
            <w:tcW w:w="3040" w:type="dxa"/>
            <w:noWrap/>
            <w:hideMark/>
          </w:tcPr>
          <w:p w14:paraId="08E7548E" w14:textId="77777777" w:rsidR="005F321B" w:rsidRPr="005F321B" w:rsidRDefault="005F321B">
            <w:proofErr w:type="spellStart"/>
            <w:proofErr w:type="gramStart"/>
            <w:r w:rsidRPr="005F321B">
              <w:t>Plasma.Volume.Gross</w:t>
            </w:r>
            <w:proofErr w:type="spellEnd"/>
            <w:proofErr w:type="gramEnd"/>
          </w:p>
        </w:tc>
        <w:tc>
          <w:tcPr>
            <w:tcW w:w="6320" w:type="dxa"/>
            <w:noWrap/>
            <w:hideMark/>
          </w:tcPr>
          <w:p w14:paraId="2DA36E6E" w14:textId="77777777" w:rsidR="005F321B" w:rsidRPr="005F321B" w:rsidRDefault="005F321B">
            <w:r w:rsidRPr="005F321B">
              <w:t>volume (</w:t>
            </w:r>
            <w:proofErr w:type="spellStart"/>
            <w:r w:rsidRPr="005F321B">
              <w:t>uL</w:t>
            </w:r>
            <w:proofErr w:type="spellEnd"/>
            <w:r w:rsidRPr="005F321B">
              <w:t>) plasma collected from cardiac puncture + EDTA</w:t>
            </w:r>
          </w:p>
        </w:tc>
      </w:tr>
      <w:tr w:rsidR="005F321B" w:rsidRPr="005F321B" w14:paraId="557696B7" w14:textId="77777777" w:rsidTr="005F321B">
        <w:trPr>
          <w:trHeight w:val="300"/>
        </w:trPr>
        <w:tc>
          <w:tcPr>
            <w:tcW w:w="3040" w:type="dxa"/>
            <w:noWrap/>
            <w:hideMark/>
          </w:tcPr>
          <w:p w14:paraId="5BE24CB5" w14:textId="77777777" w:rsidR="005F321B" w:rsidRPr="005F321B" w:rsidRDefault="005F321B">
            <w:proofErr w:type="spellStart"/>
            <w:r w:rsidRPr="005F321B">
              <w:t>Hemolysis_notes</w:t>
            </w:r>
            <w:proofErr w:type="spellEnd"/>
          </w:p>
        </w:tc>
        <w:tc>
          <w:tcPr>
            <w:tcW w:w="6320" w:type="dxa"/>
            <w:noWrap/>
            <w:hideMark/>
          </w:tcPr>
          <w:p w14:paraId="13A5A9FA" w14:textId="77777777" w:rsidR="005F321B" w:rsidRPr="005F321B" w:rsidRDefault="005F321B">
            <w:r w:rsidRPr="005F321B">
              <w:t>how hemolyzed the plasma was</w:t>
            </w:r>
          </w:p>
        </w:tc>
      </w:tr>
      <w:tr w:rsidR="005F321B" w:rsidRPr="005F321B" w14:paraId="13986C29" w14:textId="77777777" w:rsidTr="005F321B">
        <w:trPr>
          <w:trHeight w:val="300"/>
        </w:trPr>
        <w:tc>
          <w:tcPr>
            <w:tcW w:w="3040" w:type="dxa"/>
            <w:noWrap/>
            <w:hideMark/>
          </w:tcPr>
          <w:p w14:paraId="4180BB7A" w14:textId="77777777" w:rsidR="005F321B" w:rsidRPr="005F321B" w:rsidRDefault="005F321B">
            <w:proofErr w:type="spellStart"/>
            <w:r w:rsidRPr="005F321B">
              <w:t>EDTA.Volume</w:t>
            </w:r>
            <w:proofErr w:type="spellEnd"/>
          </w:p>
        </w:tc>
        <w:tc>
          <w:tcPr>
            <w:tcW w:w="6320" w:type="dxa"/>
            <w:noWrap/>
            <w:hideMark/>
          </w:tcPr>
          <w:p w14:paraId="02A51EBA" w14:textId="77777777" w:rsidR="005F321B" w:rsidRPr="005F321B" w:rsidRDefault="005F321B">
            <w:r w:rsidRPr="005F321B">
              <w:t>volume (</w:t>
            </w:r>
            <w:proofErr w:type="spellStart"/>
            <w:r w:rsidRPr="005F321B">
              <w:t>uL</w:t>
            </w:r>
            <w:proofErr w:type="spellEnd"/>
            <w:r w:rsidRPr="005F321B">
              <w:t>) EDTA used to prevent coagulation during cardiac puncture</w:t>
            </w:r>
          </w:p>
        </w:tc>
      </w:tr>
      <w:tr w:rsidR="005F321B" w:rsidRPr="005F321B" w14:paraId="77C98E41" w14:textId="77777777" w:rsidTr="005F321B">
        <w:trPr>
          <w:trHeight w:val="300"/>
        </w:trPr>
        <w:tc>
          <w:tcPr>
            <w:tcW w:w="3040" w:type="dxa"/>
            <w:noWrap/>
            <w:hideMark/>
          </w:tcPr>
          <w:p w14:paraId="597A2947" w14:textId="77777777" w:rsidR="005F321B" w:rsidRPr="005F321B" w:rsidRDefault="005F321B">
            <w:r w:rsidRPr="005F321B">
              <w:t>Blood.Volume.Net</w:t>
            </w:r>
          </w:p>
        </w:tc>
        <w:tc>
          <w:tcPr>
            <w:tcW w:w="6320" w:type="dxa"/>
            <w:noWrap/>
            <w:hideMark/>
          </w:tcPr>
          <w:p w14:paraId="3E8E651B" w14:textId="77777777" w:rsidR="005F321B" w:rsidRPr="005F321B" w:rsidRDefault="005F321B">
            <w:r w:rsidRPr="005F321B">
              <w:t>volume (</w:t>
            </w:r>
            <w:proofErr w:type="spellStart"/>
            <w:r w:rsidRPr="005F321B">
              <w:t>uL</w:t>
            </w:r>
            <w:proofErr w:type="spellEnd"/>
            <w:r w:rsidRPr="005F321B">
              <w:t>) blood collected from cardiac puncture - EDTA</w:t>
            </w:r>
          </w:p>
        </w:tc>
      </w:tr>
      <w:tr w:rsidR="005F321B" w:rsidRPr="005F321B" w14:paraId="2C4385E0" w14:textId="77777777" w:rsidTr="005F321B">
        <w:trPr>
          <w:trHeight w:val="300"/>
        </w:trPr>
        <w:tc>
          <w:tcPr>
            <w:tcW w:w="3040" w:type="dxa"/>
            <w:noWrap/>
            <w:hideMark/>
          </w:tcPr>
          <w:p w14:paraId="0A633E77" w14:textId="77777777" w:rsidR="005F321B" w:rsidRPr="005F321B" w:rsidRDefault="005F321B">
            <w:r w:rsidRPr="005F321B">
              <w:t>Plasma.Volume.Net</w:t>
            </w:r>
          </w:p>
        </w:tc>
        <w:tc>
          <w:tcPr>
            <w:tcW w:w="6320" w:type="dxa"/>
            <w:noWrap/>
            <w:hideMark/>
          </w:tcPr>
          <w:p w14:paraId="1C600F9C" w14:textId="77777777" w:rsidR="005F321B" w:rsidRPr="005F321B" w:rsidRDefault="005F321B">
            <w:r w:rsidRPr="005F321B">
              <w:t>volume (</w:t>
            </w:r>
            <w:proofErr w:type="spellStart"/>
            <w:r w:rsidRPr="005F321B">
              <w:t>uL</w:t>
            </w:r>
            <w:proofErr w:type="spellEnd"/>
            <w:r w:rsidRPr="005F321B">
              <w:t>) plasma collected from cardiac puncture - EDTA</w:t>
            </w:r>
          </w:p>
        </w:tc>
      </w:tr>
      <w:tr w:rsidR="005F321B" w:rsidRPr="005F321B" w14:paraId="69553BE5" w14:textId="77777777" w:rsidTr="005F321B">
        <w:trPr>
          <w:trHeight w:val="300"/>
        </w:trPr>
        <w:tc>
          <w:tcPr>
            <w:tcW w:w="3040" w:type="dxa"/>
            <w:noWrap/>
            <w:hideMark/>
          </w:tcPr>
          <w:p w14:paraId="3573B0AD" w14:textId="77777777" w:rsidR="005F321B" w:rsidRPr="005F321B" w:rsidRDefault="005F321B">
            <w:proofErr w:type="spellStart"/>
            <w:r w:rsidRPr="005F321B">
              <w:t>Mouse.Source</w:t>
            </w:r>
            <w:proofErr w:type="spellEnd"/>
          </w:p>
        </w:tc>
        <w:tc>
          <w:tcPr>
            <w:tcW w:w="6320" w:type="dxa"/>
            <w:noWrap/>
            <w:hideMark/>
          </w:tcPr>
          <w:p w14:paraId="324DAF92" w14:textId="77777777" w:rsidR="005F321B" w:rsidRPr="005F321B" w:rsidRDefault="005F321B">
            <w:r w:rsidRPr="005F321B">
              <w:t>vendor, or in-house</w:t>
            </w:r>
          </w:p>
        </w:tc>
      </w:tr>
      <w:tr w:rsidR="005F321B" w:rsidRPr="005F321B" w14:paraId="2E975855" w14:textId="77777777" w:rsidTr="005F321B">
        <w:trPr>
          <w:trHeight w:val="300"/>
        </w:trPr>
        <w:tc>
          <w:tcPr>
            <w:tcW w:w="3040" w:type="dxa"/>
            <w:noWrap/>
            <w:hideMark/>
          </w:tcPr>
          <w:p w14:paraId="05E7A174" w14:textId="77777777" w:rsidR="005F321B" w:rsidRPr="005F321B" w:rsidRDefault="005F321B">
            <w:r w:rsidRPr="005F321B">
              <w:t>Genotype</w:t>
            </w:r>
          </w:p>
        </w:tc>
        <w:tc>
          <w:tcPr>
            <w:tcW w:w="6320" w:type="dxa"/>
            <w:noWrap/>
            <w:hideMark/>
          </w:tcPr>
          <w:p w14:paraId="222989C7" w14:textId="77777777" w:rsidR="005F321B" w:rsidRPr="005F321B" w:rsidRDefault="005F321B">
            <w:r w:rsidRPr="005F321B">
              <w:t>genotype (WT or specific mutant)</w:t>
            </w:r>
          </w:p>
        </w:tc>
      </w:tr>
      <w:tr w:rsidR="005F321B" w:rsidRPr="005F321B" w14:paraId="22DF4E4D" w14:textId="77777777" w:rsidTr="005F321B">
        <w:trPr>
          <w:trHeight w:val="300"/>
        </w:trPr>
        <w:tc>
          <w:tcPr>
            <w:tcW w:w="3040" w:type="dxa"/>
            <w:noWrap/>
            <w:hideMark/>
          </w:tcPr>
          <w:p w14:paraId="7F2481D4" w14:textId="77777777" w:rsidR="005F321B" w:rsidRPr="005F321B" w:rsidRDefault="005F321B">
            <w:r w:rsidRPr="005F321B">
              <w:t>Sex</w:t>
            </w:r>
          </w:p>
        </w:tc>
        <w:tc>
          <w:tcPr>
            <w:tcW w:w="6320" w:type="dxa"/>
            <w:noWrap/>
            <w:hideMark/>
          </w:tcPr>
          <w:p w14:paraId="369590C3" w14:textId="77777777" w:rsidR="005F321B" w:rsidRPr="005F321B" w:rsidRDefault="005F321B">
            <w:r w:rsidRPr="005F321B">
              <w:t>male or female</w:t>
            </w:r>
          </w:p>
        </w:tc>
      </w:tr>
      <w:tr w:rsidR="005F321B" w:rsidRPr="005F321B" w14:paraId="05F6E1ED" w14:textId="77777777" w:rsidTr="005F321B">
        <w:trPr>
          <w:trHeight w:val="300"/>
        </w:trPr>
        <w:tc>
          <w:tcPr>
            <w:tcW w:w="3040" w:type="dxa"/>
            <w:noWrap/>
            <w:hideMark/>
          </w:tcPr>
          <w:p w14:paraId="6BCBA20F" w14:textId="77777777" w:rsidR="005F321B" w:rsidRPr="005F321B" w:rsidRDefault="005F321B">
            <w:proofErr w:type="spellStart"/>
            <w:r w:rsidRPr="005F321B">
              <w:t>Date.Birth</w:t>
            </w:r>
            <w:proofErr w:type="spellEnd"/>
          </w:p>
        </w:tc>
        <w:tc>
          <w:tcPr>
            <w:tcW w:w="6320" w:type="dxa"/>
            <w:noWrap/>
            <w:hideMark/>
          </w:tcPr>
          <w:p w14:paraId="7E14FB3A" w14:textId="77777777" w:rsidR="005F321B" w:rsidRPr="005F321B" w:rsidRDefault="005F321B">
            <w:r w:rsidRPr="005F321B">
              <w:t>date of birth</w:t>
            </w:r>
          </w:p>
        </w:tc>
      </w:tr>
      <w:tr w:rsidR="005F321B" w:rsidRPr="005F321B" w14:paraId="2BBD9B52" w14:textId="77777777" w:rsidTr="005F321B">
        <w:trPr>
          <w:trHeight w:val="300"/>
        </w:trPr>
        <w:tc>
          <w:tcPr>
            <w:tcW w:w="3040" w:type="dxa"/>
            <w:noWrap/>
            <w:hideMark/>
          </w:tcPr>
          <w:p w14:paraId="6B45EC54" w14:textId="77777777" w:rsidR="005F321B" w:rsidRPr="005F321B" w:rsidRDefault="005F321B">
            <w:proofErr w:type="spellStart"/>
            <w:r w:rsidRPr="005F321B">
              <w:t>Date.Arrived</w:t>
            </w:r>
            <w:proofErr w:type="spellEnd"/>
          </w:p>
        </w:tc>
        <w:tc>
          <w:tcPr>
            <w:tcW w:w="6320" w:type="dxa"/>
            <w:noWrap/>
            <w:hideMark/>
          </w:tcPr>
          <w:p w14:paraId="74884B4C" w14:textId="77777777" w:rsidR="005F321B" w:rsidRPr="005F321B" w:rsidRDefault="005F321B">
            <w:r w:rsidRPr="005F321B">
              <w:t>date of arrival at Stanford</w:t>
            </w:r>
          </w:p>
        </w:tc>
      </w:tr>
      <w:tr w:rsidR="005F321B" w:rsidRPr="005F321B" w14:paraId="6DFAFF46" w14:textId="77777777" w:rsidTr="005F321B">
        <w:trPr>
          <w:trHeight w:val="300"/>
        </w:trPr>
        <w:tc>
          <w:tcPr>
            <w:tcW w:w="3040" w:type="dxa"/>
            <w:noWrap/>
            <w:hideMark/>
          </w:tcPr>
          <w:p w14:paraId="23FC643E" w14:textId="77777777" w:rsidR="005F321B" w:rsidRPr="005F321B" w:rsidRDefault="005F321B">
            <w:proofErr w:type="spellStart"/>
            <w:r w:rsidRPr="005F321B">
              <w:t>Date.Transpond</w:t>
            </w:r>
            <w:proofErr w:type="spellEnd"/>
          </w:p>
        </w:tc>
        <w:tc>
          <w:tcPr>
            <w:tcW w:w="6320" w:type="dxa"/>
            <w:noWrap/>
            <w:hideMark/>
          </w:tcPr>
          <w:p w14:paraId="249E74FE" w14:textId="77777777" w:rsidR="005F321B" w:rsidRPr="005F321B" w:rsidRDefault="005F321B">
            <w:r w:rsidRPr="005F321B">
              <w:t>date of temperature transponder insertion</w:t>
            </w:r>
          </w:p>
        </w:tc>
      </w:tr>
      <w:tr w:rsidR="005F321B" w:rsidRPr="005F321B" w14:paraId="0FFC2206" w14:textId="77777777" w:rsidTr="005F321B">
        <w:trPr>
          <w:trHeight w:val="300"/>
        </w:trPr>
        <w:tc>
          <w:tcPr>
            <w:tcW w:w="3040" w:type="dxa"/>
            <w:noWrap/>
            <w:hideMark/>
          </w:tcPr>
          <w:p w14:paraId="512019D0" w14:textId="77777777" w:rsidR="005F321B" w:rsidRPr="005F321B" w:rsidRDefault="005F321B">
            <w:r w:rsidRPr="005F321B">
              <w:lastRenderedPageBreak/>
              <w:t>Date.d0Sampling</w:t>
            </w:r>
          </w:p>
        </w:tc>
        <w:tc>
          <w:tcPr>
            <w:tcW w:w="6320" w:type="dxa"/>
            <w:noWrap/>
            <w:hideMark/>
          </w:tcPr>
          <w:p w14:paraId="578B244A" w14:textId="77777777" w:rsidR="005F321B" w:rsidRPr="005F321B" w:rsidRDefault="005F321B">
            <w:r w:rsidRPr="005F321B">
              <w:t>date of d0 sampling</w:t>
            </w:r>
          </w:p>
        </w:tc>
      </w:tr>
      <w:tr w:rsidR="005F321B" w:rsidRPr="005F321B" w14:paraId="23D35A7F" w14:textId="77777777" w:rsidTr="005F321B">
        <w:trPr>
          <w:trHeight w:val="300"/>
        </w:trPr>
        <w:tc>
          <w:tcPr>
            <w:tcW w:w="3040" w:type="dxa"/>
            <w:noWrap/>
            <w:hideMark/>
          </w:tcPr>
          <w:p w14:paraId="56B1EC50" w14:textId="77777777" w:rsidR="005F321B" w:rsidRPr="005F321B" w:rsidRDefault="005F321B">
            <w:proofErr w:type="spellStart"/>
            <w:r w:rsidRPr="005F321B">
              <w:t>Date.Infection</w:t>
            </w:r>
            <w:proofErr w:type="spellEnd"/>
          </w:p>
        </w:tc>
        <w:tc>
          <w:tcPr>
            <w:tcW w:w="6320" w:type="dxa"/>
            <w:noWrap/>
            <w:hideMark/>
          </w:tcPr>
          <w:p w14:paraId="02C39262" w14:textId="77777777" w:rsidR="005F321B" w:rsidRPr="005F321B" w:rsidRDefault="005F321B">
            <w:r w:rsidRPr="005F321B">
              <w:t>date of infection</w:t>
            </w:r>
          </w:p>
        </w:tc>
      </w:tr>
      <w:tr w:rsidR="005F321B" w:rsidRPr="005F321B" w14:paraId="5F86C300" w14:textId="77777777" w:rsidTr="005F321B">
        <w:trPr>
          <w:trHeight w:val="300"/>
        </w:trPr>
        <w:tc>
          <w:tcPr>
            <w:tcW w:w="3040" w:type="dxa"/>
            <w:noWrap/>
            <w:hideMark/>
          </w:tcPr>
          <w:p w14:paraId="7E438A02" w14:textId="77777777" w:rsidR="005F321B" w:rsidRPr="005F321B" w:rsidRDefault="005F321B">
            <w:proofErr w:type="spellStart"/>
            <w:r w:rsidRPr="005F321B">
              <w:t>RBC.Initial.millions.per.uL</w:t>
            </w:r>
            <w:proofErr w:type="spellEnd"/>
          </w:p>
        </w:tc>
        <w:tc>
          <w:tcPr>
            <w:tcW w:w="6320" w:type="dxa"/>
            <w:noWrap/>
            <w:hideMark/>
          </w:tcPr>
          <w:p w14:paraId="001277B3" w14:textId="77777777" w:rsidR="005F321B" w:rsidRPr="005F321B" w:rsidRDefault="005F321B">
            <w:r w:rsidRPr="005F321B">
              <w:t>d0 RBC (millions of RBCs/</w:t>
            </w:r>
            <w:proofErr w:type="spellStart"/>
            <w:r w:rsidRPr="005F321B">
              <w:t>uL</w:t>
            </w:r>
            <w:proofErr w:type="spellEnd"/>
            <w:r w:rsidRPr="005F321B">
              <w:t xml:space="preserve"> blood)</w:t>
            </w:r>
          </w:p>
        </w:tc>
      </w:tr>
      <w:tr w:rsidR="005F321B" w:rsidRPr="005F321B" w14:paraId="485037A3" w14:textId="77777777" w:rsidTr="005F321B">
        <w:trPr>
          <w:trHeight w:val="300"/>
        </w:trPr>
        <w:tc>
          <w:tcPr>
            <w:tcW w:w="3040" w:type="dxa"/>
            <w:noWrap/>
            <w:hideMark/>
          </w:tcPr>
          <w:p w14:paraId="4FF3C0F3" w14:textId="77777777" w:rsidR="005F321B" w:rsidRPr="005F321B" w:rsidRDefault="005F321B">
            <w:proofErr w:type="spellStart"/>
            <w:r w:rsidRPr="005F321B">
              <w:t>Temperature.Initial</w:t>
            </w:r>
            <w:proofErr w:type="spellEnd"/>
          </w:p>
        </w:tc>
        <w:tc>
          <w:tcPr>
            <w:tcW w:w="6320" w:type="dxa"/>
            <w:noWrap/>
            <w:hideMark/>
          </w:tcPr>
          <w:p w14:paraId="553E0B9C" w14:textId="77777777" w:rsidR="005F321B" w:rsidRPr="005F321B" w:rsidRDefault="005F321B">
            <w:r w:rsidRPr="005F321B">
              <w:t>d0 temperature in Celsius</w:t>
            </w:r>
          </w:p>
        </w:tc>
      </w:tr>
      <w:tr w:rsidR="005F321B" w:rsidRPr="005F321B" w14:paraId="2531DE17" w14:textId="77777777" w:rsidTr="005F321B">
        <w:trPr>
          <w:trHeight w:val="300"/>
        </w:trPr>
        <w:tc>
          <w:tcPr>
            <w:tcW w:w="3040" w:type="dxa"/>
            <w:noWrap/>
            <w:hideMark/>
          </w:tcPr>
          <w:p w14:paraId="48734B7F" w14:textId="77777777" w:rsidR="005F321B" w:rsidRPr="005F321B" w:rsidRDefault="005F321B">
            <w:proofErr w:type="spellStart"/>
            <w:r w:rsidRPr="005F321B">
              <w:t>Weight.Initial</w:t>
            </w:r>
            <w:proofErr w:type="spellEnd"/>
          </w:p>
        </w:tc>
        <w:tc>
          <w:tcPr>
            <w:tcW w:w="6320" w:type="dxa"/>
            <w:noWrap/>
            <w:hideMark/>
          </w:tcPr>
          <w:p w14:paraId="0A241477" w14:textId="77777777" w:rsidR="005F321B" w:rsidRPr="005F321B" w:rsidRDefault="005F321B">
            <w:r w:rsidRPr="005F321B">
              <w:t>d0 weight in grams</w:t>
            </w:r>
          </w:p>
        </w:tc>
      </w:tr>
      <w:tr w:rsidR="005F321B" w:rsidRPr="005F321B" w14:paraId="2A6B522E" w14:textId="77777777" w:rsidTr="005F321B">
        <w:trPr>
          <w:trHeight w:val="300"/>
        </w:trPr>
        <w:tc>
          <w:tcPr>
            <w:tcW w:w="3040" w:type="dxa"/>
            <w:noWrap/>
            <w:hideMark/>
          </w:tcPr>
          <w:p w14:paraId="0521EF6D" w14:textId="77777777" w:rsidR="005F321B" w:rsidRPr="005F321B" w:rsidRDefault="005F321B">
            <w:r w:rsidRPr="005F321B">
              <w:t>Weight</w:t>
            </w:r>
          </w:p>
        </w:tc>
        <w:tc>
          <w:tcPr>
            <w:tcW w:w="6320" w:type="dxa"/>
            <w:noWrap/>
            <w:hideMark/>
          </w:tcPr>
          <w:p w14:paraId="01EADEA0" w14:textId="77777777" w:rsidR="005F321B" w:rsidRPr="005F321B" w:rsidRDefault="005F321B">
            <w:r w:rsidRPr="005F321B">
              <w:t>weight in grams on day of sacrifice</w:t>
            </w:r>
          </w:p>
        </w:tc>
      </w:tr>
      <w:tr w:rsidR="005F321B" w:rsidRPr="005F321B" w14:paraId="684CB220" w14:textId="77777777" w:rsidTr="005F321B">
        <w:trPr>
          <w:trHeight w:val="300"/>
        </w:trPr>
        <w:tc>
          <w:tcPr>
            <w:tcW w:w="3040" w:type="dxa"/>
            <w:noWrap/>
            <w:hideMark/>
          </w:tcPr>
          <w:p w14:paraId="723C6F13" w14:textId="77777777" w:rsidR="005F321B" w:rsidRPr="005F321B" w:rsidRDefault="005F321B">
            <w:r w:rsidRPr="005F321B">
              <w:t>Temperature</w:t>
            </w:r>
          </w:p>
        </w:tc>
        <w:tc>
          <w:tcPr>
            <w:tcW w:w="6320" w:type="dxa"/>
            <w:noWrap/>
            <w:hideMark/>
          </w:tcPr>
          <w:p w14:paraId="137E1DDF" w14:textId="77777777" w:rsidR="005F321B" w:rsidRPr="005F321B" w:rsidRDefault="005F321B">
            <w:r w:rsidRPr="005F321B">
              <w:t>temp in Celsius on day of sacrifice</w:t>
            </w:r>
          </w:p>
        </w:tc>
      </w:tr>
      <w:tr w:rsidR="005F321B" w:rsidRPr="005F321B" w14:paraId="7EE1A5D5" w14:textId="77777777" w:rsidTr="005F321B">
        <w:trPr>
          <w:trHeight w:val="300"/>
        </w:trPr>
        <w:tc>
          <w:tcPr>
            <w:tcW w:w="3040" w:type="dxa"/>
            <w:noWrap/>
            <w:hideMark/>
          </w:tcPr>
          <w:p w14:paraId="615A65B7" w14:textId="77777777" w:rsidR="005F321B" w:rsidRPr="005F321B" w:rsidRDefault="005F321B">
            <w:proofErr w:type="spellStart"/>
            <w:r w:rsidRPr="005F321B">
              <w:t>RBC.millions.per.uL</w:t>
            </w:r>
            <w:proofErr w:type="spellEnd"/>
          </w:p>
        </w:tc>
        <w:tc>
          <w:tcPr>
            <w:tcW w:w="6320" w:type="dxa"/>
            <w:noWrap/>
            <w:hideMark/>
          </w:tcPr>
          <w:p w14:paraId="63FD137E" w14:textId="77777777" w:rsidR="005F321B" w:rsidRPr="005F321B" w:rsidRDefault="005F321B">
            <w:r w:rsidRPr="005F321B">
              <w:t>millions of RBCs/</w:t>
            </w:r>
            <w:proofErr w:type="spellStart"/>
            <w:r w:rsidRPr="005F321B">
              <w:t>uL</w:t>
            </w:r>
            <w:proofErr w:type="spellEnd"/>
            <w:r w:rsidRPr="005F321B">
              <w:t xml:space="preserve"> blood on day of sacrifice</w:t>
            </w:r>
          </w:p>
        </w:tc>
      </w:tr>
      <w:tr w:rsidR="005F321B" w:rsidRPr="005F321B" w14:paraId="08DB6943" w14:textId="77777777" w:rsidTr="005F321B">
        <w:trPr>
          <w:trHeight w:val="300"/>
        </w:trPr>
        <w:tc>
          <w:tcPr>
            <w:tcW w:w="3040" w:type="dxa"/>
            <w:noWrap/>
            <w:hideMark/>
          </w:tcPr>
          <w:p w14:paraId="31A3CD26" w14:textId="77777777" w:rsidR="005F321B" w:rsidRPr="005F321B" w:rsidRDefault="005F321B">
            <w:proofErr w:type="spellStart"/>
            <w:r w:rsidRPr="005F321B">
              <w:t>Blood.Glucose</w:t>
            </w:r>
            <w:proofErr w:type="spellEnd"/>
          </w:p>
        </w:tc>
        <w:tc>
          <w:tcPr>
            <w:tcW w:w="6320" w:type="dxa"/>
            <w:noWrap/>
            <w:hideMark/>
          </w:tcPr>
          <w:p w14:paraId="7401EC84" w14:textId="77777777" w:rsidR="005F321B" w:rsidRPr="005F321B" w:rsidRDefault="005F321B">
            <w:r w:rsidRPr="005F321B">
              <w:t>blood glucose in mg/deciliter</w:t>
            </w:r>
          </w:p>
        </w:tc>
      </w:tr>
      <w:tr w:rsidR="005F321B" w:rsidRPr="005F321B" w14:paraId="2EA99797" w14:textId="77777777" w:rsidTr="005F321B">
        <w:trPr>
          <w:trHeight w:val="300"/>
        </w:trPr>
        <w:tc>
          <w:tcPr>
            <w:tcW w:w="3040" w:type="dxa"/>
            <w:noWrap/>
            <w:hideMark/>
          </w:tcPr>
          <w:p w14:paraId="6461D2A1" w14:textId="77777777" w:rsidR="005F321B" w:rsidRPr="005F321B" w:rsidRDefault="005F321B">
            <w:r w:rsidRPr="005F321B">
              <w:t>Parasitemia</w:t>
            </w:r>
          </w:p>
        </w:tc>
        <w:tc>
          <w:tcPr>
            <w:tcW w:w="6320" w:type="dxa"/>
            <w:noWrap/>
            <w:hideMark/>
          </w:tcPr>
          <w:p w14:paraId="17DA5989" w14:textId="77777777" w:rsidR="005F321B" w:rsidRPr="005F321B" w:rsidRDefault="005F321B">
            <w:r w:rsidRPr="005F321B">
              <w:t>% infected RBCs (</w:t>
            </w:r>
            <w:proofErr w:type="gramStart"/>
            <w:r w:rsidRPr="005F321B">
              <w:t>e.g.</w:t>
            </w:r>
            <w:proofErr w:type="gramEnd"/>
            <w:r w:rsidRPr="005F321B">
              <w:t xml:space="preserve"> 0.2 = 20% of RBCs were infected with at least one parasite; no distinction made between 1 parasite/cell &amp; many parasites/cell)</w:t>
            </w:r>
          </w:p>
        </w:tc>
      </w:tr>
      <w:tr w:rsidR="005F321B" w:rsidRPr="005F321B" w14:paraId="5351F8B3" w14:textId="77777777" w:rsidTr="005F321B">
        <w:trPr>
          <w:trHeight w:val="300"/>
        </w:trPr>
        <w:tc>
          <w:tcPr>
            <w:tcW w:w="3040" w:type="dxa"/>
            <w:noWrap/>
            <w:hideMark/>
          </w:tcPr>
          <w:p w14:paraId="3B2945E3" w14:textId="77777777" w:rsidR="005F321B" w:rsidRPr="005F321B" w:rsidRDefault="005F321B">
            <w:proofErr w:type="spellStart"/>
            <w:r w:rsidRPr="005F321B">
              <w:t>Parasite.Density</w:t>
            </w:r>
            <w:proofErr w:type="spellEnd"/>
          </w:p>
        </w:tc>
        <w:tc>
          <w:tcPr>
            <w:tcW w:w="6320" w:type="dxa"/>
            <w:noWrap/>
            <w:hideMark/>
          </w:tcPr>
          <w:p w14:paraId="396ADAA0" w14:textId="77777777" w:rsidR="005F321B" w:rsidRPr="005F321B" w:rsidRDefault="005F321B">
            <w:r w:rsidRPr="005F321B">
              <w:t xml:space="preserve">% parasitemia * </w:t>
            </w:r>
            <w:proofErr w:type="spellStart"/>
            <w:r w:rsidRPr="005F321B">
              <w:t>RBC_Accuri</w:t>
            </w:r>
            <w:proofErr w:type="spellEnd"/>
            <w:r w:rsidRPr="005F321B">
              <w:t xml:space="preserve">, </w:t>
            </w:r>
            <w:proofErr w:type="spellStart"/>
            <w:proofErr w:type="gramStart"/>
            <w:r w:rsidRPr="005F321B">
              <w:t>ie</w:t>
            </w:r>
            <w:proofErr w:type="spellEnd"/>
            <w:proofErr w:type="gramEnd"/>
            <w:r w:rsidRPr="005F321B">
              <w:t xml:space="preserve"> # parasites / </w:t>
            </w:r>
            <w:proofErr w:type="spellStart"/>
            <w:r w:rsidRPr="005F321B">
              <w:t>uL</w:t>
            </w:r>
            <w:proofErr w:type="spellEnd"/>
            <w:r w:rsidRPr="005F321B">
              <w:t xml:space="preserve"> blood</w:t>
            </w:r>
          </w:p>
        </w:tc>
      </w:tr>
      <w:tr w:rsidR="005F321B" w:rsidRPr="005F321B" w14:paraId="4241DD89" w14:textId="77777777" w:rsidTr="005F321B">
        <w:trPr>
          <w:trHeight w:val="300"/>
        </w:trPr>
        <w:tc>
          <w:tcPr>
            <w:tcW w:w="3040" w:type="dxa"/>
            <w:noWrap/>
            <w:hideMark/>
          </w:tcPr>
          <w:p w14:paraId="0ABEDD4C" w14:textId="77777777" w:rsidR="005F321B" w:rsidRPr="005F321B" w:rsidRDefault="005F321B">
            <w:proofErr w:type="spellStart"/>
            <w:r w:rsidRPr="005F321B">
              <w:t>RBC.Delta</w:t>
            </w:r>
            <w:proofErr w:type="spellEnd"/>
          </w:p>
        </w:tc>
        <w:tc>
          <w:tcPr>
            <w:tcW w:w="6320" w:type="dxa"/>
            <w:noWrap/>
            <w:hideMark/>
          </w:tcPr>
          <w:p w14:paraId="573C6029" w14:textId="77777777" w:rsidR="005F321B" w:rsidRPr="005F321B" w:rsidRDefault="005F321B">
            <w:r w:rsidRPr="005F321B">
              <w:t xml:space="preserve">change in </w:t>
            </w:r>
            <w:proofErr w:type="spellStart"/>
            <w:r w:rsidRPr="005F321B">
              <w:t>RBC_Accuri</w:t>
            </w:r>
            <w:proofErr w:type="spellEnd"/>
          </w:p>
        </w:tc>
      </w:tr>
      <w:tr w:rsidR="005F321B" w:rsidRPr="005F321B" w14:paraId="47A8721A" w14:textId="77777777" w:rsidTr="005F321B">
        <w:trPr>
          <w:trHeight w:val="300"/>
        </w:trPr>
        <w:tc>
          <w:tcPr>
            <w:tcW w:w="3040" w:type="dxa"/>
            <w:noWrap/>
            <w:hideMark/>
          </w:tcPr>
          <w:p w14:paraId="73DCA609" w14:textId="77777777" w:rsidR="005F321B" w:rsidRPr="005F321B" w:rsidRDefault="005F321B">
            <w:proofErr w:type="spellStart"/>
            <w:proofErr w:type="gramStart"/>
            <w:r w:rsidRPr="005F321B">
              <w:t>Blood.Glucose.Initial</w:t>
            </w:r>
            <w:proofErr w:type="spellEnd"/>
            <w:proofErr w:type="gramEnd"/>
          </w:p>
        </w:tc>
        <w:tc>
          <w:tcPr>
            <w:tcW w:w="6320" w:type="dxa"/>
            <w:noWrap/>
            <w:hideMark/>
          </w:tcPr>
          <w:p w14:paraId="72DA9C3B" w14:textId="77777777" w:rsidR="005F321B" w:rsidRPr="005F321B" w:rsidRDefault="005F321B">
            <w:r w:rsidRPr="005F321B">
              <w:t>d0 blood glucose in mg/dL</w:t>
            </w:r>
          </w:p>
        </w:tc>
      </w:tr>
      <w:tr w:rsidR="005F321B" w:rsidRPr="005F321B" w14:paraId="712D4039" w14:textId="77777777" w:rsidTr="005F321B">
        <w:trPr>
          <w:trHeight w:val="300"/>
        </w:trPr>
        <w:tc>
          <w:tcPr>
            <w:tcW w:w="3040" w:type="dxa"/>
            <w:noWrap/>
            <w:hideMark/>
          </w:tcPr>
          <w:p w14:paraId="242E343A" w14:textId="77777777" w:rsidR="005F321B" w:rsidRPr="005F321B" w:rsidRDefault="005F321B">
            <w:proofErr w:type="spellStart"/>
            <w:proofErr w:type="gramStart"/>
            <w:r w:rsidRPr="005F321B">
              <w:t>Blood.Glucose.Delta</w:t>
            </w:r>
            <w:proofErr w:type="spellEnd"/>
            <w:proofErr w:type="gramEnd"/>
          </w:p>
        </w:tc>
        <w:tc>
          <w:tcPr>
            <w:tcW w:w="6320" w:type="dxa"/>
            <w:noWrap/>
            <w:hideMark/>
          </w:tcPr>
          <w:p w14:paraId="1B965450" w14:textId="77777777" w:rsidR="005F321B" w:rsidRPr="005F321B" w:rsidRDefault="005F321B">
            <w:r w:rsidRPr="005F321B">
              <w:t>change in blood glucose</w:t>
            </w:r>
          </w:p>
        </w:tc>
      </w:tr>
      <w:tr w:rsidR="005F321B" w:rsidRPr="005F321B" w14:paraId="255FB1BF" w14:textId="77777777" w:rsidTr="005F321B">
        <w:trPr>
          <w:trHeight w:val="300"/>
        </w:trPr>
        <w:tc>
          <w:tcPr>
            <w:tcW w:w="3040" w:type="dxa"/>
            <w:noWrap/>
            <w:hideMark/>
          </w:tcPr>
          <w:p w14:paraId="7005CFA1" w14:textId="77777777" w:rsidR="005F321B" w:rsidRPr="005F321B" w:rsidRDefault="005F321B">
            <w:proofErr w:type="spellStart"/>
            <w:r w:rsidRPr="005F321B">
              <w:t>Temperature.Delta</w:t>
            </w:r>
            <w:proofErr w:type="spellEnd"/>
          </w:p>
        </w:tc>
        <w:tc>
          <w:tcPr>
            <w:tcW w:w="6320" w:type="dxa"/>
            <w:noWrap/>
            <w:hideMark/>
          </w:tcPr>
          <w:p w14:paraId="29FB3652" w14:textId="77777777" w:rsidR="005F321B" w:rsidRPr="005F321B" w:rsidRDefault="005F321B">
            <w:r w:rsidRPr="005F321B">
              <w:t>change in temp</w:t>
            </w:r>
          </w:p>
        </w:tc>
      </w:tr>
      <w:tr w:rsidR="005F321B" w:rsidRPr="005F321B" w14:paraId="48D260C2" w14:textId="77777777" w:rsidTr="005F321B">
        <w:trPr>
          <w:trHeight w:val="300"/>
        </w:trPr>
        <w:tc>
          <w:tcPr>
            <w:tcW w:w="3040" w:type="dxa"/>
            <w:noWrap/>
            <w:hideMark/>
          </w:tcPr>
          <w:p w14:paraId="6332AA93" w14:textId="77777777" w:rsidR="005F321B" w:rsidRPr="005F321B" w:rsidRDefault="005F321B">
            <w:proofErr w:type="spellStart"/>
            <w:r w:rsidRPr="005F321B">
              <w:t>Weight.Delta</w:t>
            </w:r>
            <w:proofErr w:type="spellEnd"/>
          </w:p>
        </w:tc>
        <w:tc>
          <w:tcPr>
            <w:tcW w:w="6320" w:type="dxa"/>
            <w:noWrap/>
            <w:hideMark/>
          </w:tcPr>
          <w:p w14:paraId="29C6C077" w14:textId="77777777" w:rsidR="005F321B" w:rsidRPr="005F321B" w:rsidRDefault="005F321B">
            <w:r w:rsidRPr="005F321B">
              <w:t>change in weight</w:t>
            </w:r>
          </w:p>
        </w:tc>
      </w:tr>
      <w:tr w:rsidR="005F321B" w:rsidRPr="005F321B" w14:paraId="16F5A03A" w14:textId="77777777" w:rsidTr="005F321B">
        <w:trPr>
          <w:trHeight w:val="300"/>
        </w:trPr>
        <w:tc>
          <w:tcPr>
            <w:tcW w:w="3040" w:type="dxa"/>
            <w:noWrap/>
            <w:hideMark/>
          </w:tcPr>
          <w:p w14:paraId="49D6CFE9" w14:textId="77777777" w:rsidR="005F321B" w:rsidRPr="005F321B" w:rsidRDefault="005F321B">
            <w:proofErr w:type="spellStart"/>
            <w:proofErr w:type="gramStart"/>
            <w:r w:rsidRPr="005F321B">
              <w:t>Weight.Percent.Loss</w:t>
            </w:r>
            <w:proofErr w:type="spellEnd"/>
            <w:proofErr w:type="gramEnd"/>
          </w:p>
        </w:tc>
        <w:tc>
          <w:tcPr>
            <w:tcW w:w="6320" w:type="dxa"/>
            <w:noWrap/>
            <w:hideMark/>
          </w:tcPr>
          <w:p w14:paraId="50F30AE4" w14:textId="77777777" w:rsidR="005F321B" w:rsidRPr="005F321B" w:rsidRDefault="005F321B">
            <w:r w:rsidRPr="005F321B">
              <w:t>percent change in weight</w:t>
            </w:r>
          </w:p>
        </w:tc>
      </w:tr>
      <w:tr w:rsidR="005F321B" w:rsidRPr="005F321B" w14:paraId="7A7D2380" w14:textId="77777777" w:rsidTr="005F321B">
        <w:trPr>
          <w:trHeight w:val="300"/>
        </w:trPr>
        <w:tc>
          <w:tcPr>
            <w:tcW w:w="3040" w:type="dxa"/>
            <w:noWrap/>
            <w:hideMark/>
          </w:tcPr>
          <w:p w14:paraId="68108AEA" w14:textId="77777777" w:rsidR="005F321B" w:rsidRPr="005F321B" w:rsidRDefault="005F321B">
            <w:r w:rsidRPr="005F321B">
              <w:t>AST</w:t>
            </w:r>
          </w:p>
        </w:tc>
        <w:tc>
          <w:tcPr>
            <w:tcW w:w="6320" w:type="dxa"/>
            <w:noWrap/>
            <w:hideMark/>
          </w:tcPr>
          <w:p w14:paraId="5DAE1589" w14:textId="77777777" w:rsidR="005F321B" w:rsidRPr="005F321B" w:rsidRDefault="005F321B">
            <w:r w:rsidRPr="005F321B">
              <w:t>liver enzyme, units/L (U/L)</w:t>
            </w:r>
          </w:p>
        </w:tc>
      </w:tr>
      <w:tr w:rsidR="005F321B" w:rsidRPr="005F321B" w14:paraId="031C9189" w14:textId="77777777" w:rsidTr="005F321B">
        <w:trPr>
          <w:trHeight w:val="300"/>
        </w:trPr>
        <w:tc>
          <w:tcPr>
            <w:tcW w:w="3040" w:type="dxa"/>
            <w:noWrap/>
            <w:hideMark/>
          </w:tcPr>
          <w:p w14:paraId="2DC7D392" w14:textId="77777777" w:rsidR="005F321B" w:rsidRPr="005F321B" w:rsidRDefault="005F321B">
            <w:r w:rsidRPr="005F321B">
              <w:t>ALT</w:t>
            </w:r>
          </w:p>
        </w:tc>
        <w:tc>
          <w:tcPr>
            <w:tcW w:w="6320" w:type="dxa"/>
            <w:noWrap/>
            <w:hideMark/>
          </w:tcPr>
          <w:p w14:paraId="660C5B6F" w14:textId="77777777" w:rsidR="005F321B" w:rsidRPr="005F321B" w:rsidRDefault="005F321B">
            <w:r w:rsidRPr="005F321B">
              <w:t>liver enzyme, units/L (U/L)</w:t>
            </w:r>
          </w:p>
        </w:tc>
      </w:tr>
      <w:tr w:rsidR="005F321B" w:rsidRPr="005F321B" w14:paraId="07474255" w14:textId="77777777" w:rsidTr="005F321B">
        <w:trPr>
          <w:trHeight w:val="300"/>
        </w:trPr>
        <w:tc>
          <w:tcPr>
            <w:tcW w:w="3040" w:type="dxa"/>
            <w:noWrap/>
          </w:tcPr>
          <w:p w14:paraId="1B29BF45" w14:textId="0061C995" w:rsidR="005F321B" w:rsidRPr="005F321B" w:rsidRDefault="005F321B">
            <w:r>
              <w:t>EOTAXIN through VEGF</w:t>
            </w:r>
          </w:p>
        </w:tc>
        <w:tc>
          <w:tcPr>
            <w:tcW w:w="6320" w:type="dxa"/>
            <w:noWrap/>
          </w:tcPr>
          <w:p w14:paraId="2B9B7E41" w14:textId="62F9D45E" w:rsidR="005F321B" w:rsidRPr="005F321B" w:rsidRDefault="005F321B">
            <w:r>
              <w:t>cytokine, r</w:t>
            </w:r>
            <w:r w:rsidRPr="005F321B">
              <w:t>aw median fluorescence intensity</w:t>
            </w:r>
          </w:p>
        </w:tc>
      </w:tr>
      <w:tr w:rsidR="005F321B" w:rsidRPr="005F321B" w14:paraId="13E25D2F" w14:textId="77777777" w:rsidTr="005F321B">
        <w:trPr>
          <w:trHeight w:val="300"/>
        </w:trPr>
        <w:tc>
          <w:tcPr>
            <w:tcW w:w="3040" w:type="dxa"/>
            <w:noWrap/>
          </w:tcPr>
          <w:p w14:paraId="3625F0B9" w14:textId="0625AC95" w:rsidR="005F321B" w:rsidRDefault="005F321B">
            <w:r w:rsidRPr="005F321B">
              <w:t>(16 or 17)-</w:t>
            </w:r>
            <w:proofErr w:type="spellStart"/>
            <w:r w:rsidRPr="005F321B">
              <w:t>methylstearate</w:t>
            </w:r>
            <w:proofErr w:type="spellEnd"/>
            <w:r w:rsidRPr="005F321B">
              <w:t xml:space="preserve"> (a19:0 or i19:0)</w:t>
            </w:r>
            <w:r>
              <w:t xml:space="preserve"> through xylose</w:t>
            </w:r>
          </w:p>
        </w:tc>
        <w:tc>
          <w:tcPr>
            <w:tcW w:w="6320" w:type="dxa"/>
            <w:noWrap/>
          </w:tcPr>
          <w:p w14:paraId="6890BE53" w14:textId="09779AC8" w:rsidR="005F321B" w:rsidRDefault="005F321B">
            <w:r>
              <w:t xml:space="preserve">metabolite, </w:t>
            </w:r>
            <w:r w:rsidRPr="005F321B">
              <w:t xml:space="preserve">Values for each sample are normalized by volume and dilution effect; Each biochemical in </w:t>
            </w:r>
            <w:proofErr w:type="spellStart"/>
            <w:r w:rsidRPr="005F321B">
              <w:t>OrigScale</w:t>
            </w:r>
            <w:proofErr w:type="spellEnd"/>
            <w:r w:rsidRPr="005F321B">
              <w:t xml:space="preserve"> is then rescaled to set the median equal to 1; Lastly, missing values are imputed with the minimum.</w:t>
            </w:r>
            <w:r>
              <w:t xml:space="preserve"> (this is how data arrives from Metabolon to customer)</w:t>
            </w:r>
          </w:p>
        </w:tc>
      </w:tr>
    </w:tbl>
    <w:p w14:paraId="55BA1251" w14:textId="77777777" w:rsidR="005F321B" w:rsidRDefault="005F321B"/>
    <w:sectPr w:rsidR="005F321B" w:rsidSect="00805C7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0B5D8B" w14:textId="77777777" w:rsidR="00DE4206" w:rsidRDefault="00DE4206" w:rsidP="00AC2A57">
      <w:r>
        <w:separator/>
      </w:r>
    </w:p>
  </w:endnote>
  <w:endnote w:type="continuationSeparator" w:id="0">
    <w:p w14:paraId="769FD3DD" w14:textId="77777777" w:rsidR="00DE4206" w:rsidRDefault="00DE4206" w:rsidP="00AC2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3187A3" w14:textId="77777777" w:rsidR="00DE4206" w:rsidRDefault="00DE4206" w:rsidP="00AC2A57">
      <w:r>
        <w:separator/>
      </w:r>
    </w:p>
  </w:footnote>
  <w:footnote w:type="continuationSeparator" w:id="0">
    <w:p w14:paraId="56CF4D03" w14:textId="77777777" w:rsidR="00DE4206" w:rsidRDefault="00DE4206" w:rsidP="00AC2A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C2D318" w14:textId="2441A003" w:rsidR="00AC2A57" w:rsidRDefault="00AC2A57">
    <w:pPr>
      <w:pStyle w:val="Header"/>
    </w:pPr>
    <w:r>
      <w:t>methods for upload to Metabolomics workbench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0B0441"/>
    <w:multiLevelType w:val="hybridMultilevel"/>
    <w:tmpl w:val="90BAC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A57"/>
    <w:rsid w:val="000C1731"/>
    <w:rsid w:val="0017141C"/>
    <w:rsid w:val="003461E5"/>
    <w:rsid w:val="00405A4B"/>
    <w:rsid w:val="0044537F"/>
    <w:rsid w:val="0052744F"/>
    <w:rsid w:val="00556B12"/>
    <w:rsid w:val="005960CD"/>
    <w:rsid w:val="005F321B"/>
    <w:rsid w:val="006A4AEC"/>
    <w:rsid w:val="00713449"/>
    <w:rsid w:val="00722589"/>
    <w:rsid w:val="00761826"/>
    <w:rsid w:val="00805C72"/>
    <w:rsid w:val="008416D4"/>
    <w:rsid w:val="00855A21"/>
    <w:rsid w:val="00A04D33"/>
    <w:rsid w:val="00A30660"/>
    <w:rsid w:val="00A53015"/>
    <w:rsid w:val="00A61303"/>
    <w:rsid w:val="00AC2A57"/>
    <w:rsid w:val="00B01AD2"/>
    <w:rsid w:val="00B44FFF"/>
    <w:rsid w:val="00B63363"/>
    <w:rsid w:val="00B9523E"/>
    <w:rsid w:val="00BD4332"/>
    <w:rsid w:val="00BF1A36"/>
    <w:rsid w:val="00C63DA3"/>
    <w:rsid w:val="00C717F5"/>
    <w:rsid w:val="00C8629A"/>
    <w:rsid w:val="00CC015A"/>
    <w:rsid w:val="00D052C9"/>
    <w:rsid w:val="00D8587B"/>
    <w:rsid w:val="00DB0820"/>
    <w:rsid w:val="00DE4206"/>
    <w:rsid w:val="00E71AB7"/>
    <w:rsid w:val="00E741A7"/>
    <w:rsid w:val="00EE1DD5"/>
    <w:rsid w:val="00F41015"/>
    <w:rsid w:val="00F77066"/>
    <w:rsid w:val="00F95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F5B6F1"/>
  <w15:chartTrackingRefBased/>
  <w15:docId w15:val="{4940A982-E1E2-3841-9300-2416A2C31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A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2A57"/>
    <w:pPr>
      <w:tabs>
        <w:tab w:val="center" w:pos="4680"/>
        <w:tab w:val="right" w:pos="9360"/>
      </w:tabs>
    </w:pPr>
  </w:style>
  <w:style w:type="character" w:customStyle="1" w:styleId="HeaderChar">
    <w:name w:val="Header Char"/>
    <w:basedOn w:val="DefaultParagraphFont"/>
    <w:link w:val="Header"/>
    <w:uiPriority w:val="99"/>
    <w:rsid w:val="00AC2A57"/>
  </w:style>
  <w:style w:type="paragraph" w:styleId="Footer">
    <w:name w:val="footer"/>
    <w:basedOn w:val="Normal"/>
    <w:link w:val="FooterChar"/>
    <w:uiPriority w:val="99"/>
    <w:unhideWhenUsed/>
    <w:rsid w:val="00AC2A57"/>
    <w:pPr>
      <w:tabs>
        <w:tab w:val="center" w:pos="4680"/>
        <w:tab w:val="right" w:pos="9360"/>
      </w:tabs>
    </w:pPr>
  </w:style>
  <w:style w:type="character" w:customStyle="1" w:styleId="FooterChar">
    <w:name w:val="Footer Char"/>
    <w:basedOn w:val="DefaultParagraphFont"/>
    <w:link w:val="Footer"/>
    <w:uiPriority w:val="99"/>
    <w:rsid w:val="00AC2A57"/>
  </w:style>
  <w:style w:type="paragraph" w:styleId="ListParagraph">
    <w:name w:val="List Paragraph"/>
    <w:basedOn w:val="Normal"/>
    <w:uiPriority w:val="34"/>
    <w:qFormat/>
    <w:rsid w:val="00AC2A57"/>
    <w:pPr>
      <w:ind w:left="720"/>
      <w:contextualSpacing/>
    </w:pPr>
  </w:style>
  <w:style w:type="table" w:styleId="TableGrid">
    <w:name w:val="Table Grid"/>
    <w:basedOn w:val="TableNormal"/>
    <w:uiPriority w:val="39"/>
    <w:rsid w:val="005F32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629A"/>
    <w:rPr>
      <w:color w:val="0563C1" w:themeColor="hyperlink"/>
      <w:u w:val="single"/>
    </w:rPr>
  </w:style>
  <w:style w:type="character" w:styleId="UnresolvedMention">
    <w:name w:val="Unresolved Mention"/>
    <w:basedOn w:val="DefaultParagraphFont"/>
    <w:uiPriority w:val="99"/>
    <w:semiHidden/>
    <w:unhideWhenUsed/>
    <w:rsid w:val="00C862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481790">
      <w:bodyDiv w:val="1"/>
      <w:marLeft w:val="0"/>
      <w:marRight w:val="0"/>
      <w:marTop w:val="0"/>
      <w:marBottom w:val="0"/>
      <w:divBdr>
        <w:top w:val="none" w:sz="0" w:space="0" w:color="auto"/>
        <w:left w:val="none" w:sz="0" w:space="0" w:color="auto"/>
        <w:bottom w:val="none" w:sz="0" w:space="0" w:color="auto"/>
        <w:right w:val="none" w:sz="0" w:space="0" w:color="auto"/>
      </w:divBdr>
    </w:div>
    <w:div w:id="622464567">
      <w:bodyDiv w:val="1"/>
      <w:marLeft w:val="0"/>
      <w:marRight w:val="0"/>
      <w:marTop w:val="0"/>
      <w:marBottom w:val="0"/>
      <w:divBdr>
        <w:top w:val="none" w:sz="0" w:space="0" w:color="auto"/>
        <w:left w:val="none" w:sz="0" w:space="0" w:color="auto"/>
        <w:bottom w:val="none" w:sz="0" w:space="0" w:color="auto"/>
        <w:right w:val="none" w:sz="0" w:space="0" w:color="auto"/>
      </w:divBdr>
    </w:div>
    <w:div w:id="181444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2962</Words>
  <Characters>16884</Characters>
  <Application>Microsoft Office Word</Application>
  <DocSecurity>0</DocSecurity>
  <Lines>140</Lines>
  <Paragraphs>39</Paragraphs>
  <ScaleCrop>false</ScaleCrop>
  <Company/>
  <LinksUpToDate>false</LinksUpToDate>
  <CharactersWithSpaces>19807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dc:creator>
  <cp:keywords/>
  <dc:description/>
  <cp:lastModifiedBy>Nicole</cp:lastModifiedBy>
  <cp:revision>15</cp:revision>
  <dcterms:created xsi:type="dcterms:W3CDTF">2021-04-11T19:30:00Z</dcterms:created>
  <dcterms:modified xsi:type="dcterms:W3CDTF">2021-04-11T20:25:00Z</dcterms:modified>
</cp:coreProperties>
</file>