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C8923" w14:textId="77777777" w:rsidR="000460F1" w:rsidRPr="000460F1" w:rsidRDefault="000460F1" w:rsidP="000460F1">
      <w:pPr>
        <w:spacing w:line="480" w:lineRule="auto"/>
        <w:jc w:val="both"/>
        <w:rPr>
          <w:rFonts w:ascii="Times New Roman" w:eastAsia="Times New Roman" w:hAnsi="Times New Roman" w:cs="Times New Roman"/>
        </w:rPr>
      </w:pPr>
      <w:r w:rsidRPr="000460F1">
        <w:rPr>
          <w:rFonts w:ascii="Times New Roman" w:eastAsia="Times New Roman" w:hAnsi="Times New Roman" w:cs="Times New Roman"/>
          <w:b/>
          <w:bCs/>
          <w:color w:val="000000"/>
        </w:rPr>
        <w:t>Short chain fatty acids (SCFAs) assay using GC-MS:</w:t>
      </w:r>
      <w:r w:rsidRPr="000460F1">
        <w:rPr>
          <w:rFonts w:ascii="Times New Roman" w:eastAsia="Times New Roman" w:hAnsi="Times New Roman" w:cs="Times New Roman"/>
          <w:color w:val="000000"/>
        </w:rPr>
        <w:t xml:space="preserve"> An aliquot of 50 mg of fecal sample was extracted using 0.5% phosphoric acid spiked with 83.7 µg of D3-acetate as the internal standard. The samples were disrupted and homogenized by adding 2 stainless steel beads (SSB 32) using the TissueLyserII at 20 Hz for 2 min. The samples were additionally sonicated for 5 min. After centrifugation at 16,000 g for 10 min, the supernatants were transferred to a new tube. Butanol was added to the supernatant, and samples were extracted one more time using the TissueLyserII at 2 Hz for 2 min. The samples were centrifuged at 16,000 g for 10 min and the upper phase was transferred to a new tube. A small aliquot of each sample was pooled together to make a quality control (QC) sample. The samples were transferred to GC vials and injected without derivatization. The GC-MS analysis was carried out using the same equipment described in the untargeted metabolomics section. The injector temperature was 250°C; the MS transfer line was 230°C. Metabolites were separated on a VF-WAXms column (30 m x 0.25 mm, 0.25 μm, Agilent Technologies), at constant flow of 1.2 ml.min-1 of helium as a carrier gas. One microliter of sample was injected into the injector operating in 1:2 split mode. The temperature of the column was initially set to 70°C, and increased at a rate of 12°C.min−1 to 170°C, and then at 25°C.min−1 to 250°C, followed by a hold for 10 min. The acquisition was set up as a SIM (Single Ion Monitoring) scan method using selected ions to analyze the detectable SCFAs (D3-acetate, 46-63 ions; acetate, 43-60 ions; propionate, 45-74 ions; butyric acid, 60-73 ions; isovaleric acid, 60-74 ions; valeric acid, 60-73 ions). The data was acquired at a scan speed of 3.125 u/s with a dwell time of 30 ms for each ion selected. The generated data was analyzed with Agilent Mass Hunter Quantitative Analysis. For quantification, an external standard curve was prepared using a series of standard samples containing different concentrations of SCFAs and fixed concentration of the internal standard.</w:t>
      </w:r>
    </w:p>
    <w:p w14:paraId="6DBC8924" w14:textId="3A8CF32B" w:rsidR="000460F1" w:rsidRPr="000460F1" w:rsidRDefault="000460F1" w:rsidP="003E75B2">
      <w:pPr>
        <w:spacing w:line="480" w:lineRule="auto"/>
        <w:rPr>
          <w:rFonts w:ascii="Times New Roman" w:eastAsia="Times New Roman" w:hAnsi="Times New Roman" w:cs="Times New Roman"/>
        </w:rPr>
      </w:pPr>
      <w:r w:rsidRPr="000460F1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Bile acids assay using LC-MS/MS:</w:t>
      </w:r>
      <w:r w:rsidRPr="000460F1">
        <w:rPr>
          <w:rFonts w:ascii="Times New Roman" w:eastAsia="Times New Roman" w:hAnsi="Times New Roman" w:cs="Times New Roman"/>
          <w:color w:val="000000"/>
        </w:rPr>
        <w:t xml:space="preserve"> An aliquot of 50 mg of fecal samples was extracted by adding 2 stainless steel beads (SSB 32) and chilled methanol:acetonitrile (1:1) solution using the TissueLyserII at 20 Hz for 3 min. The internal standard used is a mixture of several isotope labelled bile acids (D4-taurochenodeoxycholic acid; D4-taurocholic acid; D4-glycocholic acid; D4-glycochenodeoxycholic acid; D4-chenodeoxycholic acid; D4-deoxycholic acid). Samples were centrifuged at 4°C at 16,000 g for 10 min, and supernatants were transferred to new tubes. Samples were extracted the same way a second time with supernatants combined to the first one and then dried down using a SAVANT speed-vac. Pellets were resuspended using 30% methanol and transferred to HPLC vials. The samples were analyzed by LC-MS/MS using Multiple Reaction Monitoring (MRM) scan mode. The UPLC Nexera X2 (Shimadzu, Columbia, MD, USA) system used was interfaced with a QTRAP 6500+ (Sciex, Redwood City, CA, USA) mass spectrometer equipped with a TurboIonSpray (TIS) electrospray ion source. Analyst software (version 1.6.3) was used to control sample injection, separation, acquisition and data analysis. Bile acids were separated using the ACCQ-TAG ULTRA C18 (2.1 x 100 mm, 1.7 µm, Waters) running at a flow rate of 0.4 mL/min. The gradient of the mobile phases A (2 mM ammonium formate/0.5% formic acid) and B (0.5% formic acid/10% isopropanol/90% acetonitrile) was as follow: 30% B for 1.5 min, to 55% B in 0.2 min, to 98% B in 3.3 min, hold at 98% B for 5 min, to 30% B in 0.5 min. The column compartment was set at 55°C. The QTRAP 6500+ mass spectrometer was tuned and calibrated according to the manufacturer’s recommendations. The mass spectrometer was operated with the IonDrive Turbo V electrospray ionization (ESI) source in negative ion mode. The ESI source operation parameters were as follows: source temperature at 400°C; ion spray voltage at –4500; ion source gas 1 at 40; ion source gas 2 at 40; curtain gas at 20 psi; collision gas at medium. The bile acids were detected using MRM transitions that were </w:t>
      </w:r>
      <w:r w:rsidRPr="000460F1">
        <w:rPr>
          <w:rFonts w:ascii="Times New Roman" w:eastAsia="Times New Roman" w:hAnsi="Times New Roman" w:cs="Times New Roman"/>
          <w:color w:val="000000"/>
        </w:rPr>
        <w:lastRenderedPageBreak/>
        <w:t>optimized using standards. The MRM transition (Q1-Q3) for the compounds are as follow: α-muricholic acid (407-387), β-muricholic acid (407-371), chenodeoxycholic acid (391-373), cholic acid (407-343), deoxycholic acid (391-345), glycochenodeoxylic acid (448-74), glycocholic acid (464-74), glycodeoxycholic acid (448-74), glycolithocholic acid (432-74), hyocholic acid (407-389), lithocholic acid (375-357), ω-muricholic acid (407-387), taurochenodeoxycholic acid (498-80), taurocholic acid (514-80), taurodeoxycholic acid (498-80), taurolithocholic acid (482-80). For quantification, an external standard curve was prepared using a series of standard samples containing different concentrations of unlabeled compounds and fixed concentrations of the internal standards.</w:t>
      </w:r>
    </w:p>
    <w:p w14:paraId="6DBC8925" w14:textId="77777777" w:rsidR="000D52F6" w:rsidRDefault="000D52F6" w:rsidP="003E75B2">
      <w:pPr>
        <w:spacing w:line="480" w:lineRule="auto"/>
      </w:pPr>
    </w:p>
    <w:sectPr w:rsidR="000D52F6" w:rsidSect="007F6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F1"/>
    <w:rsid w:val="000460F1"/>
    <w:rsid w:val="000D52F6"/>
    <w:rsid w:val="000E4423"/>
    <w:rsid w:val="00110E56"/>
    <w:rsid w:val="003E75B2"/>
    <w:rsid w:val="0055488A"/>
    <w:rsid w:val="006814C2"/>
    <w:rsid w:val="00751B00"/>
    <w:rsid w:val="007F6259"/>
    <w:rsid w:val="008029E6"/>
    <w:rsid w:val="0087647B"/>
    <w:rsid w:val="00AF55F2"/>
    <w:rsid w:val="00C75780"/>
    <w:rsid w:val="00D4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C8921"/>
  <w15:chartTrackingRefBased/>
  <w15:docId w15:val="{5BDCE88E-0B40-E348-BEA5-FD9C281C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60F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4337</Characters>
  <Application>Microsoft Office Word</Application>
  <DocSecurity>0</DocSecurity>
  <Lines>361</Lines>
  <Paragraphs>275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Sophie Alvarez Y Albala</cp:lastModifiedBy>
  <cp:revision>3</cp:revision>
  <dcterms:created xsi:type="dcterms:W3CDTF">2024-10-21T20:09:00Z</dcterms:created>
  <dcterms:modified xsi:type="dcterms:W3CDTF">2024-10-21T20:10:00Z</dcterms:modified>
</cp:coreProperties>
</file>